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E5BB" w14:textId="67C92D39" w:rsidR="00537117" w:rsidRDefault="00E831B0" w:rsidP="007306E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Obrigação Tributária</w:t>
      </w:r>
    </w:p>
    <w:p w14:paraId="3EB07071" w14:textId="77777777" w:rsidR="00351BE8" w:rsidRDefault="00351BE8" w:rsidP="007306E3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F79F5D2" w14:textId="77777777" w:rsidR="00351BE8" w:rsidRPr="00D71D70" w:rsidRDefault="00351BE8" w:rsidP="00351BE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D71D70">
        <w:rPr>
          <w:rFonts w:ascii="Arial" w:hAnsi="Arial" w:cs="Arial"/>
          <w:b/>
          <w:bCs/>
          <w:sz w:val="40"/>
          <w:szCs w:val="40"/>
        </w:rPr>
        <w:t>Tributos: espécies e competência</w:t>
      </w:r>
    </w:p>
    <w:p w14:paraId="74D856CC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</w:p>
    <w:p w14:paraId="2A86C453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1. (FGV - Adaptada)</w:t>
      </w:r>
    </w:p>
    <w:p w14:paraId="0F267381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Uma empresa do setor industrial foi notificada para pagamento de um tributo cobrado em razão da coleta de lixo realizada pelo município. Esse tributo é classificado como:</w:t>
      </w:r>
    </w:p>
    <w:p w14:paraId="5129DD0D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Imposto, pois independe de atividade estatal específica</w:t>
      </w:r>
      <w:r w:rsidRPr="00537117">
        <w:rPr>
          <w:rFonts w:ascii="Arial" w:hAnsi="Arial" w:cs="Arial"/>
          <w:sz w:val="24"/>
          <w:szCs w:val="24"/>
        </w:rPr>
        <w:br/>
        <w:t>B) Taxa, pois decorre da prestação de serviço público específico</w:t>
      </w:r>
      <w:r w:rsidRPr="00537117">
        <w:rPr>
          <w:rFonts w:ascii="Arial" w:hAnsi="Arial" w:cs="Arial"/>
          <w:sz w:val="24"/>
          <w:szCs w:val="24"/>
        </w:rPr>
        <w:br/>
        <w:t>C) Contribuição de melhoria, pois valoriza o imóvel</w:t>
      </w:r>
      <w:r w:rsidRPr="00537117">
        <w:rPr>
          <w:rFonts w:ascii="Arial" w:hAnsi="Arial" w:cs="Arial"/>
          <w:sz w:val="24"/>
          <w:szCs w:val="24"/>
        </w:rPr>
        <w:br/>
        <w:t>D) Empréstimo compulsório, pois é obrigatório</w:t>
      </w:r>
      <w:r w:rsidRPr="00537117">
        <w:rPr>
          <w:rFonts w:ascii="Arial" w:hAnsi="Arial" w:cs="Arial"/>
          <w:sz w:val="24"/>
          <w:szCs w:val="24"/>
        </w:rPr>
        <w:br/>
        <w:t>E) Contribuição especial, pois financia atividade urbana</w:t>
      </w:r>
    </w:p>
    <w:p w14:paraId="4E12169C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</w:p>
    <w:p w14:paraId="26FA452D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2. (CESPE - Adaptada)</w:t>
      </w:r>
    </w:p>
    <w:p w14:paraId="6A3C9567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Após a Reforma Tributária, o IBS (Imposto sobre Bens e Serviços) será de competência:</w:t>
      </w:r>
    </w:p>
    <w:p w14:paraId="313C8A41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Exclusiva da União</w:t>
      </w:r>
      <w:r w:rsidRPr="00537117">
        <w:rPr>
          <w:rFonts w:ascii="Arial" w:hAnsi="Arial" w:cs="Arial"/>
          <w:sz w:val="24"/>
          <w:szCs w:val="24"/>
        </w:rPr>
        <w:br/>
        <w:t>B) Compartilhada entre União, Estados e Municípios</w:t>
      </w:r>
      <w:r w:rsidRPr="00537117">
        <w:rPr>
          <w:rFonts w:ascii="Arial" w:hAnsi="Arial" w:cs="Arial"/>
          <w:sz w:val="24"/>
          <w:szCs w:val="24"/>
        </w:rPr>
        <w:br/>
        <w:t>C) Exclusiva dos Estados</w:t>
      </w:r>
      <w:r w:rsidRPr="00537117">
        <w:rPr>
          <w:rFonts w:ascii="Arial" w:hAnsi="Arial" w:cs="Arial"/>
          <w:sz w:val="24"/>
          <w:szCs w:val="24"/>
        </w:rPr>
        <w:br/>
        <w:t>D) Exclusiva dos Municípios</w:t>
      </w:r>
      <w:r w:rsidRPr="00537117">
        <w:rPr>
          <w:rFonts w:ascii="Arial" w:hAnsi="Arial" w:cs="Arial"/>
          <w:sz w:val="24"/>
          <w:szCs w:val="24"/>
        </w:rPr>
        <w:br/>
        <w:t>E) Exclusiva do Distrito Federal</w:t>
      </w:r>
    </w:p>
    <w:p w14:paraId="7A90A06C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</w:p>
    <w:p w14:paraId="19675403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3. (FGV - Adaptada)</w:t>
      </w:r>
    </w:p>
    <w:p w14:paraId="2C0EA579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Uma empresa percebeu valorização imobiliária decorrente da construção de uma nova via pública. O tributo que pode ser cobrado nessa situação é:</w:t>
      </w:r>
    </w:p>
    <w:p w14:paraId="48EED724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Taxa de fiscalização</w:t>
      </w:r>
      <w:r w:rsidRPr="00537117">
        <w:rPr>
          <w:rFonts w:ascii="Arial" w:hAnsi="Arial" w:cs="Arial"/>
          <w:sz w:val="24"/>
          <w:szCs w:val="24"/>
        </w:rPr>
        <w:br/>
        <w:t>B) Imposto predial</w:t>
      </w:r>
      <w:r w:rsidRPr="00537117">
        <w:rPr>
          <w:rFonts w:ascii="Arial" w:hAnsi="Arial" w:cs="Arial"/>
          <w:sz w:val="24"/>
          <w:szCs w:val="24"/>
        </w:rPr>
        <w:br/>
        <w:t>C) Contribuição de melhoria</w:t>
      </w:r>
      <w:r w:rsidRPr="00537117">
        <w:rPr>
          <w:rFonts w:ascii="Arial" w:hAnsi="Arial" w:cs="Arial"/>
          <w:sz w:val="24"/>
          <w:szCs w:val="24"/>
        </w:rPr>
        <w:br/>
        <w:t>D) Contribuição social</w:t>
      </w:r>
      <w:r w:rsidRPr="00537117">
        <w:rPr>
          <w:rFonts w:ascii="Arial" w:hAnsi="Arial" w:cs="Arial"/>
          <w:sz w:val="24"/>
          <w:szCs w:val="24"/>
        </w:rPr>
        <w:br/>
        <w:t>E) Imposto seletivo</w:t>
      </w:r>
    </w:p>
    <w:p w14:paraId="0DC06529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</w:p>
    <w:p w14:paraId="28F58AA5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4. (CESPE - Adaptada)</w:t>
      </w:r>
    </w:p>
    <w:p w14:paraId="6ED4B0FC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O Imposto Seletivo, criado pela Reforma Tributária, possui como principal finalidade:</w:t>
      </w:r>
    </w:p>
    <w:p w14:paraId="427A0B04" w14:textId="3643C068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Arrecadação genérica</w:t>
      </w:r>
      <w:r w:rsidRPr="00537117">
        <w:rPr>
          <w:rFonts w:ascii="Arial" w:hAnsi="Arial" w:cs="Arial"/>
          <w:sz w:val="24"/>
          <w:szCs w:val="24"/>
        </w:rPr>
        <w:br/>
        <w:t>B) Redistribuição de renda</w:t>
      </w:r>
      <w:r w:rsidRPr="00537117">
        <w:rPr>
          <w:rFonts w:ascii="Arial" w:hAnsi="Arial" w:cs="Arial"/>
          <w:sz w:val="24"/>
          <w:szCs w:val="24"/>
        </w:rPr>
        <w:br/>
        <w:t>C) Desestimular o consumo de determinados bens e serviços</w:t>
      </w:r>
      <w:r w:rsidRPr="00537117">
        <w:rPr>
          <w:rFonts w:ascii="Arial" w:hAnsi="Arial" w:cs="Arial"/>
          <w:sz w:val="24"/>
          <w:szCs w:val="24"/>
        </w:rPr>
        <w:br/>
        <w:t>D) Financiar a seguridade social</w:t>
      </w:r>
      <w:r w:rsidRPr="00537117">
        <w:rPr>
          <w:rFonts w:ascii="Arial" w:hAnsi="Arial" w:cs="Arial"/>
          <w:sz w:val="24"/>
          <w:szCs w:val="24"/>
        </w:rPr>
        <w:br/>
        <w:t>E) Substituir todos os impostos existentes</w:t>
      </w:r>
    </w:p>
    <w:p w14:paraId="5F056F71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lastRenderedPageBreak/>
        <w:t>5. (FGV - Adaptada)</w:t>
      </w:r>
    </w:p>
    <w:p w14:paraId="6E913DD4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No contexto da competência tributária, é correto afirmar que:</w:t>
      </w:r>
    </w:p>
    <w:p w14:paraId="54FDF0EA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A União pode instituir qualquer tributo sem limites</w:t>
      </w:r>
      <w:r w:rsidRPr="00537117">
        <w:rPr>
          <w:rFonts w:ascii="Arial" w:hAnsi="Arial" w:cs="Arial"/>
          <w:sz w:val="24"/>
          <w:szCs w:val="24"/>
        </w:rPr>
        <w:br/>
        <w:t>B) Estados podem instituir impostos não previstos na Constituição</w:t>
      </w:r>
      <w:r w:rsidRPr="00537117">
        <w:rPr>
          <w:rFonts w:ascii="Arial" w:hAnsi="Arial" w:cs="Arial"/>
          <w:sz w:val="24"/>
          <w:szCs w:val="24"/>
        </w:rPr>
        <w:br/>
        <w:t>C) Municípios possuem competência residual</w:t>
      </w:r>
      <w:r w:rsidRPr="00537117">
        <w:rPr>
          <w:rFonts w:ascii="Arial" w:hAnsi="Arial" w:cs="Arial"/>
          <w:sz w:val="24"/>
          <w:szCs w:val="24"/>
        </w:rPr>
        <w:br/>
        <w:t>D) A competência tributária é indelegável</w:t>
      </w:r>
      <w:r w:rsidRPr="00537117">
        <w:rPr>
          <w:rFonts w:ascii="Arial" w:hAnsi="Arial" w:cs="Arial"/>
          <w:sz w:val="24"/>
          <w:szCs w:val="24"/>
        </w:rPr>
        <w:br/>
        <w:t>E) A competência pode ser transferida por contrato</w:t>
      </w:r>
    </w:p>
    <w:p w14:paraId="2D102770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</w:p>
    <w:p w14:paraId="5FC5B2C7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6. (CESPE - Adaptada)</w:t>
      </w:r>
    </w:p>
    <w:p w14:paraId="3E6853E2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Uma taxa cobrada por um Estado deve obrigatoriamente:</w:t>
      </w:r>
    </w:p>
    <w:p w14:paraId="4366EBE7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Ter base de cálculo idêntica à de impostos</w:t>
      </w:r>
      <w:r w:rsidRPr="00537117">
        <w:rPr>
          <w:rFonts w:ascii="Arial" w:hAnsi="Arial" w:cs="Arial"/>
          <w:sz w:val="24"/>
          <w:szCs w:val="24"/>
        </w:rPr>
        <w:br/>
        <w:t>B) Estar vinculada a um serviço público específico ou poder de polícia</w:t>
      </w:r>
      <w:r w:rsidRPr="00537117">
        <w:rPr>
          <w:rFonts w:ascii="Arial" w:hAnsi="Arial" w:cs="Arial"/>
          <w:sz w:val="24"/>
          <w:szCs w:val="24"/>
        </w:rPr>
        <w:br/>
        <w:t>C) Ser instituída apenas pela União</w:t>
      </w:r>
      <w:r w:rsidRPr="00537117">
        <w:rPr>
          <w:rFonts w:ascii="Arial" w:hAnsi="Arial" w:cs="Arial"/>
          <w:sz w:val="24"/>
          <w:szCs w:val="24"/>
        </w:rPr>
        <w:br/>
        <w:t>D) Ser facultativa ao contribuinte</w:t>
      </w:r>
      <w:r w:rsidRPr="00537117">
        <w:rPr>
          <w:rFonts w:ascii="Arial" w:hAnsi="Arial" w:cs="Arial"/>
          <w:sz w:val="24"/>
          <w:szCs w:val="24"/>
        </w:rPr>
        <w:br/>
        <w:t>E) Financiar políticas sociais</w:t>
      </w:r>
    </w:p>
    <w:p w14:paraId="5E74DED9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</w:p>
    <w:p w14:paraId="4496142E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7. (FGV - Adaptada)</w:t>
      </w:r>
    </w:p>
    <w:p w14:paraId="4C911163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Após a Reforma Tributária, o ICMS e o ISS serão substituídos principalmente por:</w:t>
      </w:r>
    </w:p>
    <w:p w14:paraId="7454D349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IR e IPI</w:t>
      </w:r>
      <w:r w:rsidRPr="00537117">
        <w:rPr>
          <w:rFonts w:ascii="Arial" w:hAnsi="Arial" w:cs="Arial"/>
          <w:sz w:val="24"/>
          <w:szCs w:val="24"/>
        </w:rPr>
        <w:br/>
        <w:t>B) IBS</w:t>
      </w:r>
      <w:r w:rsidRPr="00537117">
        <w:rPr>
          <w:rFonts w:ascii="Arial" w:hAnsi="Arial" w:cs="Arial"/>
          <w:sz w:val="24"/>
          <w:szCs w:val="24"/>
        </w:rPr>
        <w:br/>
        <w:t xml:space="preserve">C) </w:t>
      </w:r>
      <w:proofErr w:type="spellStart"/>
      <w:r w:rsidRPr="00537117">
        <w:rPr>
          <w:rFonts w:ascii="Arial" w:hAnsi="Arial" w:cs="Arial"/>
          <w:sz w:val="24"/>
          <w:szCs w:val="24"/>
        </w:rPr>
        <w:t>Cofins</w:t>
      </w:r>
      <w:proofErr w:type="spellEnd"/>
      <w:r w:rsidRPr="00537117">
        <w:rPr>
          <w:rFonts w:ascii="Arial" w:hAnsi="Arial" w:cs="Arial"/>
          <w:sz w:val="24"/>
          <w:szCs w:val="24"/>
        </w:rPr>
        <w:br/>
        <w:t>D) CSLL</w:t>
      </w:r>
      <w:r w:rsidRPr="00537117">
        <w:rPr>
          <w:rFonts w:ascii="Arial" w:hAnsi="Arial" w:cs="Arial"/>
          <w:sz w:val="24"/>
          <w:szCs w:val="24"/>
        </w:rPr>
        <w:br/>
        <w:t>E) ITCMD</w:t>
      </w:r>
    </w:p>
    <w:p w14:paraId="753A8CEE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</w:p>
    <w:p w14:paraId="623D7893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8. (CESPE - Adaptada)</w:t>
      </w:r>
    </w:p>
    <w:p w14:paraId="6B4791D1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Sobre a contribuição de melhoria, assinale a alternativa correta:</w:t>
      </w:r>
    </w:p>
    <w:p w14:paraId="33B1E6C7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Independe de obra pública</w:t>
      </w:r>
      <w:r w:rsidRPr="00537117">
        <w:rPr>
          <w:rFonts w:ascii="Arial" w:hAnsi="Arial" w:cs="Arial"/>
          <w:sz w:val="24"/>
          <w:szCs w:val="24"/>
        </w:rPr>
        <w:br/>
        <w:t>B) Pode ser cobrada sem limite</w:t>
      </w:r>
      <w:r w:rsidRPr="00537117">
        <w:rPr>
          <w:rFonts w:ascii="Arial" w:hAnsi="Arial" w:cs="Arial"/>
          <w:sz w:val="24"/>
          <w:szCs w:val="24"/>
        </w:rPr>
        <w:br/>
        <w:t>C) Está vinculada à valorização imobiliária decorrente de obra pública</w:t>
      </w:r>
      <w:r w:rsidRPr="00537117">
        <w:rPr>
          <w:rFonts w:ascii="Arial" w:hAnsi="Arial" w:cs="Arial"/>
          <w:sz w:val="24"/>
          <w:szCs w:val="24"/>
        </w:rPr>
        <w:br/>
        <w:t>D) É exclusiva da União</w:t>
      </w:r>
      <w:r w:rsidRPr="00537117">
        <w:rPr>
          <w:rFonts w:ascii="Arial" w:hAnsi="Arial" w:cs="Arial"/>
          <w:sz w:val="24"/>
          <w:szCs w:val="24"/>
        </w:rPr>
        <w:br/>
        <w:t>E) Não possui previsão constitucional</w:t>
      </w:r>
    </w:p>
    <w:p w14:paraId="4AEF30D7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</w:p>
    <w:p w14:paraId="55318C0F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t>9. (FGV - Adaptada)</w:t>
      </w:r>
    </w:p>
    <w:p w14:paraId="68D70120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No sistema tributário brasileiro pós-reforma, compete à União instituir:</w:t>
      </w:r>
    </w:p>
    <w:p w14:paraId="1B531520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IBS</w:t>
      </w:r>
      <w:r w:rsidRPr="00537117">
        <w:rPr>
          <w:rFonts w:ascii="Arial" w:hAnsi="Arial" w:cs="Arial"/>
          <w:sz w:val="24"/>
          <w:szCs w:val="24"/>
        </w:rPr>
        <w:br/>
        <w:t>B) IPVA</w:t>
      </w:r>
      <w:r w:rsidRPr="00537117">
        <w:rPr>
          <w:rFonts w:ascii="Arial" w:hAnsi="Arial" w:cs="Arial"/>
          <w:sz w:val="24"/>
          <w:szCs w:val="24"/>
        </w:rPr>
        <w:br/>
        <w:t>C) CBS (Contribuição sobre Bens e Serviços)</w:t>
      </w:r>
      <w:r w:rsidRPr="00537117">
        <w:rPr>
          <w:rFonts w:ascii="Arial" w:hAnsi="Arial" w:cs="Arial"/>
          <w:sz w:val="24"/>
          <w:szCs w:val="24"/>
        </w:rPr>
        <w:br/>
        <w:t>D) ISS</w:t>
      </w:r>
      <w:r w:rsidRPr="00537117">
        <w:rPr>
          <w:rFonts w:ascii="Arial" w:hAnsi="Arial" w:cs="Arial"/>
          <w:sz w:val="24"/>
          <w:szCs w:val="24"/>
        </w:rPr>
        <w:br/>
        <w:t>E) ITBI</w:t>
      </w:r>
    </w:p>
    <w:p w14:paraId="5D5E20B3" w14:textId="77777777" w:rsidR="00351BE8" w:rsidRPr="00537117" w:rsidRDefault="00351BE8" w:rsidP="00351BE8">
      <w:pPr>
        <w:rPr>
          <w:rFonts w:ascii="Arial" w:hAnsi="Arial" w:cs="Arial"/>
          <w:b/>
          <w:bCs/>
          <w:sz w:val="24"/>
          <w:szCs w:val="24"/>
        </w:rPr>
      </w:pPr>
      <w:r w:rsidRPr="00537117">
        <w:rPr>
          <w:rFonts w:ascii="Arial" w:hAnsi="Arial" w:cs="Arial"/>
          <w:b/>
          <w:bCs/>
          <w:sz w:val="24"/>
          <w:szCs w:val="24"/>
        </w:rPr>
        <w:lastRenderedPageBreak/>
        <w:t>10. (CESPE - Adaptada)</w:t>
      </w:r>
    </w:p>
    <w:p w14:paraId="7F195614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O Distrito Federal possui competência tributária:</w:t>
      </w:r>
    </w:p>
    <w:p w14:paraId="0A08426B" w14:textId="77777777" w:rsidR="00351BE8" w:rsidRPr="00537117" w:rsidRDefault="00351BE8" w:rsidP="00351BE8">
      <w:pPr>
        <w:rPr>
          <w:rFonts w:ascii="Arial" w:hAnsi="Arial" w:cs="Arial"/>
          <w:sz w:val="24"/>
          <w:szCs w:val="24"/>
        </w:rPr>
      </w:pPr>
      <w:r w:rsidRPr="00537117">
        <w:rPr>
          <w:rFonts w:ascii="Arial" w:hAnsi="Arial" w:cs="Arial"/>
          <w:sz w:val="24"/>
          <w:szCs w:val="24"/>
        </w:rPr>
        <w:t>A) Apenas municipal</w:t>
      </w:r>
      <w:r w:rsidRPr="00537117">
        <w:rPr>
          <w:rFonts w:ascii="Arial" w:hAnsi="Arial" w:cs="Arial"/>
          <w:sz w:val="24"/>
          <w:szCs w:val="24"/>
        </w:rPr>
        <w:br/>
        <w:t>B) Apenas estadual</w:t>
      </w:r>
      <w:r w:rsidRPr="00537117">
        <w:rPr>
          <w:rFonts w:ascii="Arial" w:hAnsi="Arial" w:cs="Arial"/>
          <w:sz w:val="24"/>
          <w:szCs w:val="24"/>
        </w:rPr>
        <w:br/>
        <w:t>C) Apenas federal</w:t>
      </w:r>
      <w:r w:rsidRPr="00537117">
        <w:rPr>
          <w:rFonts w:ascii="Arial" w:hAnsi="Arial" w:cs="Arial"/>
          <w:sz w:val="24"/>
          <w:szCs w:val="24"/>
        </w:rPr>
        <w:br/>
        <w:t>D) Estadual e municipal</w:t>
      </w:r>
      <w:r w:rsidRPr="00537117">
        <w:rPr>
          <w:rFonts w:ascii="Arial" w:hAnsi="Arial" w:cs="Arial"/>
          <w:sz w:val="24"/>
          <w:szCs w:val="24"/>
        </w:rPr>
        <w:br/>
        <w:t>E) Federal e estadual apenas</w:t>
      </w:r>
    </w:p>
    <w:p w14:paraId="79E8ADCD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0A5835CB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2BE143AE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7BAD5B4F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1F39212F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332C5A31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03171B7A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31BBAF06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25472D92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7FA0B1A5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75E7E2E1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4E886D80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6B807868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75F60A18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1EC1F3CB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06E84946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47D0F69F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1C975BD3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284B1366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5AEB9036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4CA995CF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0DD1BF34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30A7E82F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261CED2B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634ED575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14171C1E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58373E04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lastRenderedPageBreak/>
        <w:t>1. Gabarito: B) Taxa, pois decorre da prestação de serviço público específico</w:t>
      </w:r>
    </w:p>
    <w:p w14:paraId="5A530D5F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A cobrança pela prestação de serviço público específico e divisível pode ocorrer mediante </w:t>
      </w:r>
      <w:r w:rsidRPr="00BB4368">
        <w:rPr>
          <w:rFonts w:ascii="Arial" w:hAnsi="Arial" w:cs="Arial"/>
          <w:b/>
          <w:bCs/>
          <w:sz w:val="24"/>
          <w:szCs w:val="24"/>
        </w:rPr>
        <w:t>taxa</w:t>
      </w:r>
      <w:r w:rsidRPr="00BB4368">
        <w:rPr>
          <w:rFonts w:ascii="Arial" w:hAnsi="Arial" w:cs="Arial"/>
          <w:sz w:val="24"/>
          <w:szCs w:val="24"/>
        </w:rPr>
        <w:t>, conforme o art. 145, II, da Constituição Federal e o art. 77 do CTN.</w:t>
      </w:r>
    </w:p>
    <w:p w14:paraId="3F34E142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A coleta de lixo domiciliar, quando o serviço for </w:t>
      </w:r>
      <w:r w:rsidRPr="00BB4368">
        <w:rPr>
          <w:rFonts w:ascii="Arial" w:hAnsi="Arial" w:cs="Arial"/>
          <w:b/>
          <w:bCs/>
          <w:sz w:val="24"/>
          <w:szCs w:val="24"/>
        </w:rPr>
        <w:t>específico e divisível</w:t>
      </w:r>
      <w:r w:rsidRPr="00BB4368">
        <w:rPr>
          <w:rFonts w:ascii="Arial" w:hAnsi="Arial" w:cs="Arial"/>
          <w:sz w:val="24"/>
          <w:szCs w:val="24"/>
        </w:rPr>
        <w:t xml:space="preserve">, pode ensejar a cobrança de taxa. O STF consolidou esse entendimento na </w:t>
      </w:r>
      <w:r w:rsidRPr="00BB4368">
        <w:rPr>
          <w:rFonts w:ascii="Arial" w:hAnsi="Arial" w:cs="Arial"/>
          <w:b/>
          <w:bCs/>
          <w:sz w:val="24"/>
          <w:szCs w:val="24"/>
        </w:rPr>
        <w:t>Súmula Vinculante nº 19</w:t>
      </w:r>
      <w:r w:rsidRPr="00BB4368">
        <w:rPr>
          <w:rFonts w:ascii="Arial" w:hAnsi="Arial" w:cs="Arial"/>
          <w:sz w:val="24"/>
          <w:szCs w:val="24"/>
        </w:rPr>
        <w:t>, segundo a qual é constitucional a taxa cobrada exclusivamente em razão dos serviços públicos de coleta, remoção e tratamento ou destinação de lixo ou resíduos provenientes de imóveis.</w:t>
      </w:r>
    </w:p>
    <w:p w14:paraId="6AB28275" w14:textId="77777777" w:rsidR="00BB4368" w:rsidRPr="00BB4368" w:rsidRDefault="00BB4368" w:rsidP="00BB4368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Incorreta: essa característica é própria dos impostos. </w:t>
      </w:r>
    </w:p>
    <w:p w14:paraId="5D43A868" w14:textId="77777777" w:rsidR="00BB4368" w:rsidRPr="00BB4368" w:rsidRDefault="00BB4368" w:rsidP="00BB4368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07A078D3" w14:textId="77777777" w:rsidR="00BB4368" w:rsidRPr="00BB4368" w:rsidRDefault="00BB4368" w:rsidP="00BB4368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Incorreta: contribuição de melhoria pressupõe obra pública que gere valorização imobiliária. </w:t>
      </w:r>
    </w:p>
    <w:p w14:paraId="3247DE5E" w14:textId="77777777" w:rsidR="00BB4368" w:rsidRPr="00BB4368" w:rsidRDefault="00BB4368" w:rsidP="00BB4368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Incorreta: empréstimo compulsório é de competência da União e possui hipóteses constitucionais específicas. </w:t>
      </w:r>
    </w:p>
    <w:p w14:paraId="0A2A79F8" w14:textId="77777777" w:rsidR="00BB4368" w:rsidRPr="00BB4368" w:rsidRDefault="00BB4368" w:rsidP="00BB4368">
      <w:pPr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Incorreta: não se trata de contribuição especial. </w:t>
      </w:r>
    </w:p>
    <w:p w14:paraId="1A95CCF4" w14:textId="2654C875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7FE46668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2. Gabarito: B) Compartilhada entre União, Estados e Municípios</w:t>
      </w:r>
    </w:p>
    <w:p w14:paraId="7839A5B4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A Reforma Tributária estabeleceu o </w:t>
      </w:r>
      <w:r w:rsidRPr="00BB4368">
        <w:rPr>
          <w:rFonts w:ascii="Arial" w:hAnsi="Arial" w:cs="Arial"/>
          <w:b/>
          <w:bCs/>
          <w:sz w:val="24"/>
          <w:szCs w:val="24"/>
        </w:rPr>
        <w:t>IBS – Imposto sobre Bens e Serviços</w:t>
      </w:r>
      <w:r w:rsidRPr="00BB4368">
        <w:rPr>
          <w:rFonts w:ascii="Arial" w:hAnsi="Arial" w:cs="Arial"/>
          <w:sz w:val="24"/>
          <w:szCs w:val="24"/>
        </w:rPr>
        <w:t xml:space="preserve">, de competência </w:t>
      </w:r>
      <w:r w:rsidRPr="00BB4368">
        <w:rPr>
          <w:rFonts w:ascii="Arial" w:hAnsi="Arial" w:cs="Arial"/>
          <w:b/>
          <w:bCs/>
          <w:sz w:val="24"/>
          <w:szCs w:val="24"/>
        </w:rPr>
        <w:t>compartilhada entre Estados, Distrito Federal e Municípios</w:t>
      </w:r>
      <w:r w:rsidRPr="00BB4368">
        <w:rPr>
          <w:rFonts w:ascii="Arial" w:hAnsi="Arial" w:cs="Arial"/>
          <w:sz w:val="24"/>
          <w:szCs w:val="24"/>
        </w:rPr>
        <w:t>.</w:t>
      </w:r>
    </w:p>
    <w:p w14:paraId="5696E965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A previsão está no </w:t>
      </w:r>
      <w:r w:rsidRPr="00BB4368">
        <w:rPr>
          <w:rFonts w:ascii="Arial" w:hAnsi="Arial" w:cs="Arial"/>
          <w:b/>
          <w:bCs/>
          <w:sz w:val="24"/>
          <w:szCs w:val="24"/>
        </w:rPr>
        <w:t>art. 156-A da Constituição Federal</w:t>
      </w:r>
      <w:r w:rsidRPr="00BB4368">
        <w:rPr>
          <w:rFonts w:ascii="Arial" w:hAnsi="Arial" w:cs="Arial"/>
          <w:sz w:val="24"/>
          <w:szCs w:val="24"/>
        </w:rPr>
        <w:t>, incluído pela EC nº 132/2023.</w:t>
      </w:r>
    </w:p>
    <w:p w14:paraId="76849D08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O IBS substituirá gradualmente, principalmente, o </w:t>
      </w:r>
      <w:r w:rsidRPr="00BB4368">
        <w:rPr>
          <w:rFonts w:ascii="Arial" w:hAnsi="Arial" w:cs="Arial"/>
          <w:b/>
          <w:bCs/>
          <w:sz w:val="24"/>
          <w:szCs w:val="24"/>
        </w:rPr>
        <w:t>ICMS</w:t>
      </w:r>
      <w:r w:rsidRPr="00BB4368">
        <w:rPr>
          <w:rFonts w:ascii="Arial" w:hAnsi="Arial" w:cs="Arial"/>
          <w:sz w:val="24"/>
          <w:szCs w:val="24"/>
        </w:rPr>
        <w:t xml:space="preserve">, de competência estadual, e o </w:t>
      </w:r>
      <w:r w:rsidRPr="00BB4368">
        <w:rPr>
          <w:rFonts w:ascii="Arial" w:hAnsi="Arial" w:cs="Arial"/>
          <w:b/>
          <w:bCs/>
          <w:sz w:val="24"/>
          <w:szCs w:val="24"/>
        </w:rPr>
        <w:t>ISS</w:t>
      </w:r>
      <w:r w:rsidRPr="00BB4368">
        <w:rPr>
          <w:rFonts w:ascii="Arial" w:hAnsi="Arial" w:cs="Arial"/>
          <w:sz w:val="24"/>
          <w:szCs w:val="24"/>
        </w:rPr>
        <w:t>, de competência municipal.</w:t>
      </w:r>
    </w:p>
    <w:p w14:paraId="588937D6" w14:textId="77777777" w:rsidR="00BB4368" w:rsidRPr="00BB4368" w:rsidRDefault="00BB4368" w:rsidP="00BB4368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Incorreta: o IBS não é imposto federal. </w:t>
      </w:r>
    </w:p>
    <w:p w14:paraId="232FF75E" w14:textId="77777777" w:rsidR="00BB4368" w:rsidRPr="00BB4368" w:rsidRDefault="00BB4368" w:rsidP="00BB4368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</w:t>
      </w:r>
      <w:r w:rsidRPr="00BB4368">
        <w:rPr>
          <w:rFonts w:ascii="Arial" w:hAnsi="Arial" w:cs="Arial"/>
          <w:sz w:val="24"/>
          <w:szCs w:val="24"/>
        </w:rPr>
        <w:t xml:space="preserve">, ressalvando-se que a competência é de </w:t>
      </w:r>
      <w:r w:rsidRPr="00BB4368">
        <w:rPr>
          <w:rFonts w:ascii="Arial" w:hAnsi="Arial" w:cs="Arial"/>
          <w:b/>
          <w:bCs/>
          <w:sz w:val="24"/>
          <w:szCs w:val="24"/>
        </w:rPr>
        <w:t>Estados, Distrito Federal e Municípios</w:t>
      </w:r>
      <w:r w:rsidRPr="00BB4368">
        <w:rPr>
          <w:rFonts w:ascii="Arial" w:hAnsi="Arial" w:cs="Arial"/>
          <w:sz w:val="24"/>
          <w:szCs w:val="24"/>
        </w:rPr>
        <w:t xml:space="preserve">. </w:t>
      </w:r>
    </w:p>
    <w:p w14:paraId="023196D6" w14:textId="77777777" w:rsidR="00BB4368" w:rsidRPr="00BB4368" w:rsidRDefault="00BB4368" w:rsidP="00BB4368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4374405F" w14:textId="77777777" w:rsidR="00BB4368" w:rsidRPr="00BB4368" w:rsidRDefault="00BB4368" w:rsidP="00BB4368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DD651EE" w14:textId="77777777" w:rsidR="00BB4368" w:rsidRPr="00BB4368" w:rsidRDefault="00BB4368" w:rsidP="00BB4368">
      <w:pPr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02120B01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Observação importante:</w:t>
      </w:r>
      <w:r w:rsidRPr="00BB4368">
        <w:rPr>
          <w:rFonts w:ascii="Arial" w:hAnsi="Arial" w:cs="Arial"/>
          <w:sz w:val="24"/>
          <w:szCs w:val="24"/>
        </w:rPr>
        <w:t xml:space="preserve"> a alternativa B é a mais adequada, mas tecnicamente deveria mencionar expressamente o </w:t>
      </w:r>
      <w:r w:rsidRPr="00BB4368">
        <w:rPr>
          <w:rFonts w:ascii="Arial" w:hAnsi="Arial" w:cs="Arial"/>
          <w:b/>
          <w:bCs/>
          <w:sz w:val="24"/>
          <w:szCs w:val="24"/>
        </w:rPr>
        <w:t>Distrito Federal</w:t>
      </w:r>
      <w:r w:rsidRPr="00BB4368">
        <w:rPr>
          <w:rFonts w:ascii="Arial" w:hAnsi="Arial" w:cs="Arial"/>
          <w:sz w:val="24"/>
          <w:szCs w:val="24"/>
        </w:rPr>
        <w:t>.</w:t>
      </w:r>
    </w:p>
    <w:p w14:paraId="093CDC4A" w14:textId="44164B55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7EDBBBD4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3. Gabarito: C) Contribuição de melhoria</w:t>
      </w:r>
    </w:p>
    <w:p w14:paraId="4EC1A6A5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A </w:t>
      </w:r>
      <w:r w:rsidRPr="00BB4368">
        <w:rPr>
          <w:rFonts w:ascii="Arial" w:hAnsi="Arial" w:cs="Arial"/>
          <w:b/>
          <w:bCs/>
          <w:sz w:val="24"/>
          <w:szCs w:val="24"/>
        </w:rPr>
        <w:t>contribuição de melhoria</w:t>
      </w:r>
      <w:r w:rsidRPr="00BB4368">
        <w:rPr>
          <w:rFonts w:ascii="Arial" w:hAnsi="Arial" w:cs="Arial"/>
          <w:sz w:val="24"/>
          <w:szCs w:val="24"/>
        </w:rPr>
        <w:t xml:space="preserve"> está prevista no art. 145, III, da Constituição Federal e no art. 81 do CTN.</w:t>
      </w:r>
    </w:p>
    <w:p w14:paraId="7622F58F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lastRenderedPageBreak/>
        <w:t>Sua cobrança pressupõe dois elementos fundamentais:</w:t>
      </w:r>
    </w:p>
    <w:p w14:paraId="36336530" w14:textId="77777777" w:rsidR="00BB4368" w:rsidRPr="00BB4368" w:rsidRDefault="00BB4368" w:rsidP="00BB4368">
      <w:pPr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realização de </w:t>
      </w:r>
      <w:r w:rsidRPr="00BB4368">
        <w:rPr>
          <w:rFonts w:ascii="Arial" w:hAnsi="Arial" w:cs="Arial"/>
          <w:b/>
          <w:bCs/>
          <w:sz w:val="24"/>
          <w:szCs w:val="24"/>
        </w:rPr>
        <w:t>obra pública</w:t>
      </w:r>
      <w:r w:rsidRPr="00BB4368">
        <w:rPr>
          <w:rFonts w:ascii="Arial" w:hAnsi="Arial" w:cs="Arial"/>
          <w:sz w:val="24"/>
          <w:szCs w:val="24"/>
        </w:rPr>
        <w:t xml:space="preserve">; e </w:t>
      </w:r>
    </w:p>
    <w:p w14:paraId="6CBDAE30" w14:textId="77777777" w:rsidR="00BB4368" w:rsidRPr="00BB4368" w:rsidRDefault="00BB4368" w:rsidP="00BB4368">
      <w:pPr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valorização imobiliária</w:t>
      </w:r>
      <w:r w:rsidRPr="00BB4368">
        <w:rPr>
          <w:rFonts w:ascii="Arial" w:hAnsi="Arial" w:cs="Arial"/>
          <w:sz w:val="24"/>
          <w:szCs w:val="24"/>
        </w:rPr>
        <w:t xml:space="preserve"> decorrente dessa obra. </w:t>
      </w:r>
    </w:p>
    <w:p w14:paraId="43D059C7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>Assim, se a construção da nova via pública provocou valorização dos imóveis, poderá ser instituída contribuição de melhoria, observados os limites e requisitos legais.</w:t>
      </w:r>
    </w:p>
    <w:p w14:paraId="2B110854" w14:textId="77777777" w:rsidR="00BB4368" w:rsidRPr="00BB4368" w:rsidRDefault="00BB4368" w:rsidP="00BB4368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Incorreta: taxa de fiscalização decorre do exercício do poder de polícia. </w:t>
      </w:r>
    </w:p>
    <w:p w14:paraId="47793A9C" w14:textId="77777777" w:rsidR="00BB4368" w:rsidRPr="00BB4368" w:rsidRDefault="00BB4368" w:rsidP="00BB4368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Incorreta: IPTU é imposto sobre propriedade predial e territorial urbana. </w:t>
      </w:r>
    </w:p>
    <w:p w14:paraId="10CA4013" w14:textId="77777777" w:rsidR="00BB4368" w:rsidRPr="00BB4368" w:rsidRDefault="00BB4368" w:rsidP="00BB4368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3A08E4BB" w14:textId="77777777" w:rsidR="00BB4368" w:rsidRPr="00BB4368" w:rsidRDefault="00BB4368" w:rsidP="00BB4368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023BACE2" w14:textId="77777777" w:rsidR="00BB4368" w:rsidRPr="00BB4368" w:rsidRDefault="00BB4368" w:rsidP="00BB4368">
      <w:pPr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46641080" w14:textId="2F9D641C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07D9D366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4. Gabarito: C) Desestimular o consumo de determinados bens e serviços</w:t>
      </w:r>
    </w:p>
    <w:p w14:paraId="4A8FB2D1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O </w:t>
      </w:r>
      <w:r w:rsidRPr="00BB4368">
        <w:rPr>
          <w:rFonts w:ascii="Arial" w:hAnsi="Arial" w:cs="Arial"/>
          <w:b/>
          <w:bCs/>
          <w:sz w:val="24"/>
          <w:szCs w:val="24"/>
        </w:rPr>
        <w:t>Imposto Seletivo (IS)</w:t>
      </w:r>
      <w:r w:rsidRPr="00BB4368">
        <w:rPr>
          <w:rFonts w:ascii="Arial" w:hAnsi="Arial" w:cs="Arial"/>
          <w:sz w:val="24"/>
          <w:szCs w:val="24"/>
        </w:rPr>
        <w:t xml:space="preserve"> foi instituído pela Reforma Tributária e possui natureza </w:t>
      </w:r>
      <w:r w:rsidRPr="00BB4368">
        <w:rPr>
          <w:rFonts w:ascii="Arial" w:hAnsi="Arial" w:cs="Arial"/>
          <w:b/>
          <w:bCs/>
          <w:sz w:val="24"/>
          <w:szCs w:val="24"/>
        </w:rPr>
        <w:t>extrafiscal</w:t>
      </w:r>
      <w:r w:rsidRPr="00BB4368">
        <w:rPr>
          <w:rFonts w:ascii="Arial" w:hAnsi="Arial" w:cs="Arial"/>
          <w:sz w:val="24"/>
          <w:szCs w:val="24"/>
        </w:rPr>
        <w:t>, destinando-se a desestimular o consumo de determinados bens e serviços considerados prejudiciais à saúde ou ao meio ambiente.</w:t>
      </w:r>
    </w:p>
    <w:p w14:paraId="05CBCFB3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A previsão encontra-se no </w:t>
      </w:r>
      <w:r w:rsidRPr="00BB4368">
        <w:rPr>
          <w:rFonts w:ascii="Arial" w:hAnsi="Arial" w:cs="Arial"/>
          <w:b/>
          <w:bCs/>
          <w:sz w:val="24"/>
          <w:szCs w:val="24"/>
        </w:rPr>
        <w:t>art. 153, VIII, da Constituição Federal</w:t>
      </w:r>
      <w:r w:rsidRPr="00BB4368">
        <w:rPr>
          <w:rFonts w:ascii="Arial" w:hAnsi="Arial" w:cs="Arial"/>
          <w:sz w:val="24"/>
          <w:szCs w:val="24"/>
        </w:rPr>
        <w:t>, introduzido pela EC nº 132/2023.</w:t>
      </w:r>
    </w:p>
    <w:p w14:paraId="76EBBC59" w14:textId="77777777" w:rsidR="00BB4368" w:rsidRPr="00BB4368" w:rsidRDefault="00BB4368" w:rsidP="00BB4368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Incorreta: arrecadação genérica caracteriza finalidade predominantemente fiscal. </w:t>
      </w:r>
    </w:p>
    <w:p w14:paraId="4CA5969F" w14:textId="77777777" w:rsidR="00BB4368" w:rsidRPr="00BB4368" w:rsidRDefault="00BB4368" w:rsidP="00BB4368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07902802" w14:textId="77777777" w:rsidR="00BB4368" w:rsidRPr="00BB4368" w:rsidRDefault="00BB4368" w:rsidP="00BB4368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405B8AD3" w14:textId="77777777" w:rsidR="00BB4368" w:rsidRPr="00BB4368" w:rsidRDefault="00BB4368" w:rsidP="00BB4368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Incorreta: não é contribuição destinada à seguridade social. </w:t>
      </w:r>
    </w:p>
    <w:p w14:paraId="12E9A00A" w14:textId="77777777" w:rsidR="00BB4368" w:rsidRPr="00BB4368" w:rsidRDefault="00BB4368" w:rsidP="00BB4368">
      <w:pPr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Incorreta: não substitui todos os impostos. </w:t>
      </w:r>
    </w:p>
    <w:p w14:paraId="27AD5BE1" w14:textId="6AFAB923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40AA7BB6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5. Gabarito: D) A competência tributária é indelegável</w:t>
      </w:r>
    </w:p>
    <w:p w14:paraId="6758DF10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O </w:t>
      </w:r>
      <w:r w:rsidRPr="00BB4368">
        <w:rPr>
          <w:rFonts w:ascii="Arial" w:hAnsi="Arial" w:cs="Arial"/>
          <w:b/>
          <w:bCs/>
          <w:sz w:val="24"/>
          <w:szCs w:val="24"/>
        </w:rPr>
        <w:t>art. 7º do CTN</w:t>
      </w:r>
      <w:r w:rsidRPr="00BB4368">
        <w:rPr>
          <w:rFonts w:ascii="Arial" w:hAnsi="Arial" w:cs="Arial"/>
          <w:sz w:val="24"/>
          <w:szCs w:val="24"/>
        </w:rPr>
        <w:t xml:space="preserve"> estabelece expressamente que a competência tributária é </w:t>
      </w:r>
      <w:r w:rsidRPr="00BB4368">
        <w:rPr>
          <w:rFonts w:ascii="Arial" w:hAnsi="Arial" w:cs="Arial"/>
          <w:b/>
          <w:bCs/>
          <w:sz w:val="24"/>
          <w:szCs w:val="24"/>
        </w:rPr>
        <w:t>indelegável</w:t>
      </w:r>
      <w:r w:rsidRPr="00BB4368">
        <w:rPr>
          <w:rFonts w:ascii="Arial" w:hAnsi="Arial" w:cs="Arial"/>
          <w:sz w:val="24"/>
          <w:szCs w:val="24"/>
        </w:rPr>
        <w:t>.</w:t>
      </w:r>
    </w:p>
    <w:p w14:paraId="577262DF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>Isso significa que a pessoa política que recebeu da Constituição competência para instituir determinado tributo não pode simplesmente transferir essa competência a outra pessoa jurídica de direito público.</w:t>
      </w:r>
    </w:p>
    <w:p w14:paraId="5A47DABA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É importante distinguir </w:t>
      </w:r>
      <w:r w:rsidRPr="00BB4368">
        <w:rPr>
          <w:rFonts w:ascii="Arial" w:hAnsi="Arial" w:cs="Arial"/>
          <w:b/>
          <w:bCs/>
          <w:sz w:val="24"/>
          <w:szCs w:val="24"/>
        </w:rPr>
        <w:t>competência tributária</w:t>
      </w:r>
      <w:r w:rsidRPr="00BB4368">
        <w:rPr>
          <w:rFonts w:ascii="Arial" w:hAnsi="Arial" w:cs="Arial"/>
          <w:sz w:val="24"/>
          <w:szCs w:val="24"/>
        </w:rPr>
        <w:t xml:space="preserve"> de </w:t>
      </w:r>
      <w:r w:rsidRPr="00BB4368">
        <w:rPr>
          <w:rFonts w:ascii="Arial" w:hAnsi="Arial" w:cs="Arial"/>
          <w:b/>
          <w:bCs/>
          <w:sz w:val="24"/>
          <w:szCs w:val="24"/>
        </w:rPr>
        <w:t>capacidade tributária ativa</w:t>
      </w:r>
      <w:r w:rsidRPr="00BB4368">
        <w:rPr>
          <w:rFonts w:ascii="Arial" w:hAnsi="Arial" w:cs="Arial"/>
          <w:sz w:val="24"/>
          <w:szCs w:val="24"/>
        </w:rPr>
        <w:t>. O exercício das funções de arrecadar ou fiscalizar tributos pode ser atribuído a outra pessoa jurídica de direito público, nos termos do CTN, mas isso não significa transferência da competência constitucional.</w:t>
      </w:r>
    </w:p>
    <w:p w14:paraId="119F09FC" w14:textId="77777777" w:rsidR="00BB4368" w:rsidRPr="00BB4368" w:rsidRDefault="00BB4368" w:rsidP="00BB4368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Incorreta: a competência da União está sujeita aos limites constitucionais. </w:t>
      </w:r>
    </w:p>
    <w:p w14:paraId="1D4EB80E" w14:textId="77777777" w:rsidR="00BB4368" w:rsidRPr="00BB4368" w:rsidRDefault="00BB4368" w:rsidP="00BB4368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lastRenderedPageBreak/>
        <w:t>B)</w:t>
      </w:r>
      <w:r w:rsidRPr="00BB4368">
        <w:rPr>
          <w:rFonts w:ascii="Arial" w:hAnsi="Arial" w:cs="Arial"/>
          <w:sz w:val="24"/>
          <w:szCs w:val="24"/>
        </w:rPr>
        <w:t xml:space="preserve"> Incorreta: Estados não possuem competência residual geral para criar impostos. </w:t>
      </w:r>
    </w:p>
    <w:p w14:paraId="6FF7AAB4" w14:textId="77777777" w:rsidR="00BB4368" w:rsidRPr="00BB4368" w:rsidRDefault="00BB4368" w:rsidP="00BB4368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0B5CAF62" w14:textId="77777777" w:rsidR="00BB4368" w:rsidRPr="00BB4368" w:rsidRDefault="00BB4368" w:rsidP="00BB4368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7DC0FCF8" w14:textId="77777777" w:rsidR="00BB4368" w:rsidRPr="00BB4368" w:rsidRDefault="00BB4368" w:rsidP="00BB4368">
      <w:pPr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6FB5A309" w14:textId="0F632E7A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263C94AB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6. Gabarito: B) Estar vinculada a um serviço público específico ou poder de polícia</w:t>
      </w:r>
    </w:p>
    <w:p w14:paraId="7D203C75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Nos termos do </w:t>
      </w:r>
      <w:r w:rsidRPr="00BB4368">
        <w:rPr>
          <w:rFonts w:ascii="Arial" w:hAnsi="Arial" w:cs="Arial"/>
          <w:b/>
          <w:bCs/>
          <w:sz w:val="24"/>
          <w:szCs w:val="24"/>
        </w:rPr>
        <w:t>art. 145, II, da Constituição Federal</w:t>
      </w:r>
      <w:r w:rsidRPr="00BB4368">
        <w:rPr>
          <w:rFonts w:ascii="Arial" w:hAnsi="Arial" w:cs="Arial"/>
          <w:sz w:val="24"/>
          <w:szCs w:val="24"/>
        </w:rPr>
        <w:t xml:space="preserve"> e do </w:t>
      </w:r>
      <w:r w:rsidRPr="00BB4368">
        <w:rPr>
          <w:rFonts w:ascii="Arial" w:hAnsi="Arial" w:cs="Arial"/>
          <w:b/>
          <w:bCs/>
          <w:sz w:val="24"/>
          <w:szCs w:val="24"/>
        </w:rPr>
        <w:t>art. 77 do CTN</w:t>
      </w:r>
      <w:r w:rsidRPr="00BB4368">
        <w:rPr>
          <w:rFonts w:ascii="Arial" w:hAnsi="Arial" w:cs="Arial"/>
          <w:sz w:val="24"/>
          <w:szCs w:val="24"/>
        </w:rPr>
        <w:t>, as taxas podem ser instituídas em razão:</w:t>
      </w:r>
    </w:p>
    <w:p w14:paraId="58BC5AA0" w14:textId="77777777" w:rsidR="00BB4368" w:rsidRPr="00BB4368" w:rsidRDefault="00BB4368" w:rsidP="00BB4368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do exercício regular do </w:t>
      </w:r>
      <w:r w:rsidRPr="00BB4368">
        <w:rPr>
          <w:rFonts w:ascii="Arial" w:hAnsi="Arial" w:cs="Arial"/>
          <w:b/>
          <w:bCs/>
          <w:sz w:val="24"/>
          <w:szCs w:val="24"/>
        </w:rPr>
        <w:t>poder de polícia</w:t>
      </w:r>
      <w:r w:rsidRPr="00BB4368">
        <w:rPr>
          <w:rFonts w:ascii="Arial" w:hAnsi="Arial" w:cs="Arial"/>
          <w:sz w:val="24"/>
          <w:szCs w:val="24"/>
        </w:rPr>
        <w:t xml:space="preserve">; ou </w:t>
      </w:r>
    </w:p>
    <w:p w14:paraId="4CED8B5C" w14:textId="77777777" w:rsidR="00BB4368" w:rsidRPr="00BB4368" w:rsidRDefault="00BB4368" w:rsidP="00BB4368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da utilização, efetiva ou potencial, de </w:t>
      </w:r>
      <w:r w:rsidRPr="00BB4368">
        <w:rPr>
          <w:rFonts w:ascii="Arial" w:hAnsi="Arial" w:cs="Arial"/>
          <w:b/>
          <w:bCs/>
          <w:sz w:val="24"/>
          <w:szCs w:val="24"/>
        </w:rPr>
        <w:t>serviço público específico e divisível</w:t>
      </w:r>
      <w:r w:rsidRPr="00BB4368">
        <w:rPr>
          <w:rFonts w:ascii="Arial" w:hAnsi="Arial" w:cs="Arial"/>
          <w:sz w:val="24"/>
          <w:szCs w:val="24"/>
        </w:rPr>
        <w:t xml:space="preserve">, prestado ao contribuinte ou colocado à sua disposição. </w:t>
      </w:r>
    </w:p>
    <w:p w14:paraId="50081D17" w14:textId="77777777" w:rsidR="00BB4368" w:rsidRPr="00BB4368" w:rsidRDefault="00BB4368" w:rsidP="00BB4368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Incorreta: a taxa não pode ter base de cálculo ou fato gerador próprios de imposto, conforme art. 77, parágrafo único, do CTN. </w:t>
      </w:r>
    </w:p>
    <w:p w14:paraId="6250DEEF" w14:textId="77777777" w:rsidR="00BB4368" w:rsidRPr="00BB4368" w:rsidRDefault="00BB4368" w:rsidP="00BB4368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53856006" w14:textId="77777777" w:rsidR="00BB4368" w:rsidRPr="00BB4368" w:rsidRDefault="00BB4368" w:rsidP="00BB4368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3EC1A0EB" w14:textId="77777777" w:rsidR="00BB4368" w:rsidRPr="00BB4368" w:rsidRDefault="00BB4368" w:rsidP="00BB4368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Incorreta: tributo é prestação pecuniária compulsória. </w:t>
      </w:r>
    </w:p>
    <w:p w14:paraId="25472FF0" w14:textId="77777777" w:rsidR="00BB4368" w:rsidRPr="00BB4368" w:rsidRDefault="00BB4368" w:rsidP="00BB4368">
      <w:pPr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3706D87D" w14:textId="34FAAA4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1CAC0622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7. Gabarito: B) IBS</w:t>
      </w:r>
    </w:p>
    <w:p w14:paraId="0E740E36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A Reforma Tributária prevê a substituição gradual do </w:t>
      </w:r>
      <w:r w:rsidRPr="00BB4368">
        <w:rPr>
          <w:rFonts w:ascii="Arial" w:hAnsi="Arial" w:cs="Arial"/>
          <w:b/>
          <w:bCs/>
          <w:sz w:val="24"/>
          <w:szCs w:val="24"/>
        </w:rPr>
        <w:t>ICMS</w:t>
      </w:r>
      <w:r w:rsidRPr="00BB4368">
        <w:rPr>
          <w:rFonts w:ascii="Arial" w:hAnsi="Arial" w:cs="Arial"/>
          <w:sz w:val="24"/>
          <w:szCs w:val="24"/>
        </w:rPr>
        <w:t xml:space="preserve"> e do </w:t>
      </w:r>
      <w:r w:rsidRPr="00BB4368">
        <w:rPr>
          <w:rFonts w:ascii="Arial" w:hAnsi="Arial" w:cs="Arial"/>
          <w:b/>
          <w:bCs/>
          <w:sz w:val="24"/>
          <w:szCs w:val="24"/>
        </w:rPr>
        <w:t>ISS</w:t>
      </w:r>
      <w:r w:rsidRPr="00BB4368">
        <w:rPr>
          <w:rFonts w:ascii="Arial" w:hAnsi="Arial" w:cs="Arial"/>
          <w:sz w:val="24"/>
          <w:szCs w:val="24"/>
        </w:rPr>
        <w:t xml:space="preserve"> pelo </w:t>
      </w:r>
      <w:r w:rsidRPr="00BB4368">
        <w:rPr>
          <w:rFonts w:ascii="Arial" w:hAnsi="Arial" w:cs="Arial"/>
          <w:b/>
          <w:bCs/>
          <w:sz w:val="24"/>
          <w:szCs w:val="24"/>
        </w:rPr>
        <w:t>IBS – Imposto sobre Bens e Serviços</w:t>
      </w:r>
      <w:r w:rsidRPr="00BB4368">
        <w:rPr>
          <w:rFonts w:ascii="Arial" w:hAnsi="Arial" w:cs="Arial"/>
          <w:sz w:val="24"/>
          <w:szCs w:val="24"/>
        </w:rPr>
        <w:t>.</w:t>
      </w:r>
    </w:p>
    <w:p w14:paraId="1551E884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O IBS é previsto no </w:t>
      </w:r>
      <w:r w:rsidRPr="00BB4368">
        <w:rPr>
          <w:rFonts w:ascii="Arial" w:hAnsi="Arial" w:cs="Arial"/>
          <w:b/>
          <w:bCs/>
          <w:sz w:val="24"/>
          <w:szCs w:val="24"/>
        </w:rPr>
        <w:t>art. 156-A da Constituição Federal</w:t>
      </w:r>
      <w:r w:rsidRPr="00BB4368">
        <w:rPr>
          <w:rFonts w:ascii="Arial" w:hAnsi="Arial" w:cs="Arial"/>
          <w:sz w:val="24"/>
          <w:szCs w:val="24"/>
        </w:rPr>
        <w:t xml:space="preserve"> e será de competência compartilhada entre Estados, Distrito Federal e Municípios.</w:t>
      </w:r>
    </w:p>
    <w:p w14:paraId="0251BA97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A transição é </w:t>
      </w:r>
      <w:r w:rsidRPr="00BB4368">
        <w:rPr>
          <w:rFonts w:ascii="Arial" w:hAnsi="Arial" w:cs="Arial"/>
          <w:b/>
          <w:bCs/>
          <w:sz w:val="24"/>
          <w:szCs w:val="24"/>
        </w:rPr>
        <w:t>gradual</w:t>
      </w:r>
      <w:r w:rsidRPr="00BB4368">
        <w:rPr>
          <w:rFonts w:ascii="Arial" w:hAnsi="Arial" w:cs="Arial"/>
          <w:sz w:val="24"/>
          <w:szCs w:val="24"/>
        </w:rPr>
        <w:t>, não ocorrendo uma substituição imediata.</w:t>
      </w:r>
    </w:p>
    <w:p w14:paraId="146FF3E5" w14:textId="77777777" w:rsidR="00BB4368" w:rsidRPr="00BB4368" w:rsidRDefault="00BB4368" w:rsidP="00BB4368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25EC6526" w14:textId="77777777" w:rsidR="00BB4368" w:rsidRPr="00BB4368" w:rsidRDefault="00BB4368" w:rsidP="00BB4368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78F11BD2" w14:textId="77777777" w:rsidR="00BB4368" w:rsidRPr="00BB4368" w:rsidRDefault="00BB4368" w:rsidP="00BB4368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4C55042" w14:textId="77777777" w:rsidR="00BB4368" w:rsidRPr="00BB4368" w:rsidRDefault="00BB4368" w:rsidP="00BB4368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30A4CF51" w14:textId="77777777" w:rsidR="00BB4368" w:rsidRPr="00BB4368" w:rsidRDefault="00BB4368" w:rsidP="00BB4368">
      <w:pPr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3DB21A03" w14:textId="24503B2B" w:rsid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5DD1FBB2" w14:textId="77777777" w:rsidR="002412E2" w:rsidRDefault="002412E2" w:rsidP="00BB4368">
      <w:pPr>
        <w:rPr>
          <w:rFonts w:ascii="Arial" w:hAnsi="Arial" w:cs="Arial"/>
          <w:sz w:val="24"/>
          <w:szCs w:val="24"/>
        </w:rPr>
      </w:pPr>
    </w:p>
    <w:p w14:paraId="4B5EE99B" w14:textId="77777777" w:rsidR="002412E2" w:rsidRPr="00BB4368" w:rsidRDefault="002412E2" w:rsidP="00BB4368">
      <w:pPr>
        <w:rPr>
          <w:rFonts w:ascii="Arial" w:hAnsi="Arial" w:cs="Arial"/>
          <w:sz w:val="24"/>
          <w:szCs w:val="24"/>
        </w:rPr>
      </w:pPr>
    </w:p>
    <w:p w14:paraId="749CB8C8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lastRenderedPageBreak/>
        <w:t>8. Gabarito: C) Está vinculada à valorização imobiliária decorrente de obra pública</w:t>
      </w:r>
    </w:p>
    <w:p w14:paraId="3B69CCBD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A contribuição de melhoria encontra fundamento no </w:t>
      </w:r>
      <w:r w:rsidRPr="00BB4368">
        <w:rPr>
          <w:rFonts w:ascii="Arial" w:hAnsi="Arial" w:cs="Arial"/>
          <w:b/>
          <w:bCs/>
          <w:sz w:val="24"/>
          <w:szCs w:val="24"/>
        </w:rPr>
        <w:t>art. 145, III, da Constituição Federal</w:t>
      </w:r>
      <w:r w:rsidRPr="00BB4368">
        <w:rPr>
          <w:rFonts w:ascii="Arial" w:hAnsi="Arial" w:cs="Arial"/>
          <w:sz w:val="24"/>
          <w:szCs w:val="24"/>
        </w:rPr>
        <w:t>:</w:t>
      </w:r>
    </w:p>
    <w:p w14:paraId="64E040B4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>União, Estados, Distrito Federal e Municípios podem instituir contribuição de melhoria, decorrente de obras públicas.</w:t>
      </w:r>
    </w:p>
    <w:p w14:paraId="0A1F35A0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O </w:t>
      </w:r>
      <w:r w:rsidRPr="00BB4368">
        <w:rPr>
          <w:rFonts w:ascii="Arial" w:hAnsi="Arial" w:cs="Arial"/>
          <w:b/>
          <w:bCs/>
          <w:sz w:val="24"/>
          <w:szCs w:val="24"/>
        </w:rPr>
        <w:t>art. 81 do CTN</w:t>
      </w:r>
      <w:r w:rsidRPr="00BB4368">
        <w:rPr>
          <w:rFonts w:ascii="Arial" w:hAnsi="Arial" w:cs="Arial"/>
          <w:sz w:val="24"/>
          <w:szCs w:val="24"/>
        </w:rPr>
        <w:t xml:space="preserve"> complementa a disciplina, vinculando a cobrança à valorização imobiliária decorrente da obra pública.</w:t>
      </w:r>
    </w:p>
    <w:p w14:paraId="6A58F4BE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Além disso, existem </w:t>
      </w:r>
      <w:r w:rsidRPr="00BB4368">
        <w:rPr>
          <w:rFonts w:ascii="Arial" w:hAnsi="Arial" w:cs="Arial"/>
          <w:b/>
          <w:bCs/>
          <w:sz w:val="24"/>
          <w:szCs w:val="24"/>
        </w:rPr>
        <w:t>limites para a cobrança</w:t>
      </w:r>
      <w:r w:rsidRPr="00BB4368">
        <w:rPr>
          <w:rFonts w:ascii="Arial" w:hAnsi="Arial" w:cs="Arial"/>
          <w:sz w:val="24"/>
          <w:szCs w:val="24"/>
        </w:rPr>
        <w:t>, não podendo o total arrecadado superar a despesa realizada com a obra, nem a cobrança individual superar o acréscimo de valor do imóvel para o respectivo contribuinte.</w:t>
      </w:r>
    </w:p>
    <w:p w14:paraId="71B21102" w14:textId="77777777" w:rsidR="00BB4368" w:rsidRPr="00BB4368" w:rsidRDefault="00BB4368" w:rsidP="00BB4368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74380D2" w14:textId="77777777" w:rsidR="00BB4368" w:rsidRPr="00BB4368" w:rsidRDefault="00BB4368" w:rsidP="00BB4368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3B1E54F" w14:textId="77777777" w:rsidR="00BB4368" w:rsidRPr="00BB4368" w:rsidRDefault="00BB4368" w:rsidP="00BB4368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6AB6EC8D" w14:textId="77777777" w:rsidR="00BB4368" w:rsidRPr="00BB4368" w:rsidRDefault="00BB4368" w:rsidP="00BB4368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Incorreta: todos os entes federativos podem </w:t>
      </w:r>
      <w:proofErr w:type="gramStart"/>
      <w:r w:rsidRPr="00BB4368">
        <w:rPr>
          <w:rFonts w:ascii="Arial" w:hAnsi="Arial" w:cs="Arial"/>
          <w:sz w:val="24"/>
          <w:szCs w:val="24"/>
        </w:rPr>
        <w:t>instituí-la</w:t>
      </w:r>
      <w:proofErr w:type="gramEnd"/>
      <w:r w:rsidRPr="00BB4368">
        <w:rPr>
          <w:rFonts w:ascii="Arial" w:hAnsi="Arial" w:cs="Arial"/>
          <w:sz w:val="24"/>
          <w:szCs w:val="24"/>
        </w:rPr>
        <w:t xml:space="preserve">, dentro de suas competências. </w:t>
      </w:r>
    </w:p>
    <w:p w14:paraId="069DC9CC" w14:textId="77777777" w:rsidR="00BB4368" w:rsidRPr="00BB4368" w:rsidRDefault="00BB4368" w:rsidP="00BB4368">
      <w:pPr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Incorreta: possui previsão constitucional expressa. </w:t>
      </w:r>
    </w:p>
    <w:p w14:paraId="6E535226" w14:textId="1CCDF582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0D83811B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9. Gabarito: C) CBS (Contribuição sobre Bens e Serviços)</w:t>
      </w:r>
    </w:p>
    <w:p w14:paraId="08FCA1AF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No modelo decorrente da Reforma Tributária, a </w:t>
      </w:r>
      <w:r w:rsidRPr="00BB4368">
        <w:rPr>
          <w:rFonts w:ascii="Arial" w:hAnsi="Arial" w:cs="Arial"/>
          <w:b/>
          <w:bCs/>
          <w:sz w:val="24"/>
          <w:szCs w:val="24"/>
        </w:rPr>
        <w:t>CBS – Contribuição sobre Bens e Serviços</w:t>
      </w:r>
      <w:r w:rsidRPr="00BB4368">
        <w:rPr>
          <w:rFonts w:ascii="Arial" w:hAnsi="Arial" w:cs="Arial"/>
          <w:sz w:val="24"/>
          <w:szCs w:val="24"/>
        </w:rPr>
        <w:t xml:space="preserve"> é uma contribuição de competência da </w:t>
      </w:r>
      <w:r w:rsidRPr="00BB4368">
        <w:rPr>
          <w:rFonts w:ascii="Arial" w:hAnsi="Arial" w:cs="Arial"/>
          <w:b/>
          <w:bCs/>
          <w:sz w:val="24"/>
          <w:szCs w:val="24"/>
        </w:rPr>
        <w:t>União</w:t>
      </w:r>
      <w:r w:rsidRPr="00BB4368">
        <w:rPr>
          <w:rFonts w:ascii="Arial" w:hAnsi="Arial" w:cs="Arial"/>
          <w:sz w:val="24"/>
          <w:szCs w:val="24"/>
        </w:rPr>
        <w:t>.</w:t>
      </w:r>
    </w:p>
    <w:p w14:paraId="5ED364E1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Ela substituirá gradualmente, em conjunto com o IBS, tributos federais incidentes sobre o consumo, notadamente </w:t>
      </w:r>
      <w:r w:rsidRPr="00BB4368">
        <w:rPr>
          <w:rFonts w:ascii="Arial" w:hAnsi="Arial" w:cs="Arial"/>
          <w:b/>
          <w:bCs/>
          <w:sz w:val="24"/>
          <w:szCs w:val="24"/>
        </w:rPr>
        <w:t xml:space="preserve">PIS e </w:t>
      </w:r>
      <w:proofErr w:type="spellStart"/>
      <w:r w:rsidRPr="00BB4368">
        <w:rPr>
          <w:rFonts w:ascii="Arial" w:hAnsi="Arial" w:cs="Arial"/>
          <w:b/>
          <w:bCs/>
          <w:sz w:val="24"/>
          <w:szCs w:val="24"/>
        </w:rPr>
        <w:t>Cofins</w:t>
      </w:r>
      <w:proofErr w:type="spellEnd"/>
      <w:r w:rsidRPr="00BB4368">
        <w:rPr>
          <w:rFonts w:ascii="Arial" w:hAnsi="Arial" w:cs="Arial"/>
          <w:sz w:val="24"/>
          <w:szCs w:val="24"/>
        </w:rPr>
        <w:t>.</w:t>
      </w:r>
    </w:p>
    <w:p w14:paraId="6ED1EF51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>Já o IBS pertence à competência compartilhada dos Estados, Distrito Federal e Municípios.</w:t>
      </w:r>
    </w:p>
    <w:p w14:paraId="06D6DFA1" w14:textId="77777777" w:rsidR="00BB4368" w:rsidRPr="00BB4368" w:rsidRDefault="00BB4368" w:rsidP="00BB4368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Incorreta: IBS não é de competência da União. </w:t>
      </w:r>
    </w:p>
    <w:p w14:paraId="7C4DD7DC" w14:textId="77777777" w:rsidR="00BB4368" w:rsidRPr="00BB4368" w:rsidRDefault="00BB4368" w:rsidP="00BB4368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Incorreta: IPVA é de competência dos Estados e do Distrito Federal. </w:t>
      </w:r>
    </w:p>
    <w:p w14:paraId="515F11DA" w14:textId="77777777" w:rsidR="00BB4368" w:rsidRPr="00BB4368" w:rsidRDefault="00BB4368" w:rsidP="00BB4368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473CA6A5" w14:textId="77777777" w:rsidR="00BB4368" w:rsidRPr="00BB4368" w:rsidRDefault="00BB4368" w:rsidP="00BB4368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Incorreta: ISS é de competência municipal e será gradualmente substituído pelo IBS. </w:t>
      </w:r>
    </w:p>
    <w:p w14:paraId="7CD1E898" w14:textId="77777777" w:rsidR="00BB4368" w:rsidRPr="00BB4368" w:rsidRDefault="00BB4368" w:rsidP="00BB4368">
      <w:pPr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Incorreta: ITBI é de competência municipal. </w:t>
      </w:r>
    </w:p>
    <w:p w14:paraId="1BD51B90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Atenção técnica:</w:t>
      </w:r>
      <w:r w:rsidRPr="00BB4368">
        <w:rPr>
          <w:rFonts w:ascii="Arial" w:hAnsi="Arial" w:cs="Arial"/>
          <w:sz w:val="24"/>
          <w:szCs w:val="24"/>
        </w:rPr>
        <w:t xml:space="preserve"> a CBS decorre da Reforma Tributária, mas sua disciplina constitucional está relacionada à competência da União para instituir contribuições sociais, enquanto sua regulamentação se desenvolve na legislação infraconstitucional.</w:t>
      </w:r>
    </w:p>
    <w:p w14:paraId="598F1F07" w14:textId="4E07D046" w:rsid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67008BE0" w14:textId="77777777" w:rsidR="002412E2" w:rsidRPr="00BB4368" w:rsidRDefault="002412E2" w:rsidP="00BB4368">
      <w:pPr>
        <w:rPr>
          <w:rFonts w:ascii="Arial" w:hAnsi="Arial" w:cs="Arial"/>
          <w:sz w:val="24"/>
          <w:szCs w:val="24"/>
        </w:rPr>
      </w:pPr>
    </w:p>
    <w:p w14:paraId="62A646D4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lastRenderedPageBreak/>
        <w:t>10. Gabarito: D) Estadual e municipal</w:t>
      </w:r>
    </w:p>
    <w:p w14:paraId="1FF81373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Fundamentação:</w:t>
      </w:r>
      <w:r w:rsidRPr="00BB4368">
        <w:rPr>
          <w:rFonts w:ascii="Arial" w:hAnsi="Arial" w:cs="Arial"/>
          <w:sz w:val="24"/>
          <w:szCs w:val="24"/>
        </w:rPr>
        <w:br/>
        <w:t xml:space="preserve">O </w:t>
      </w:r>
      <w:r w:rsidRPr="00BB4368">
        <w:rPr>
          <w:rFonts w:ascii="Arial" w:hAnsi="Arial" w:cs="Arial"/>
          <w:b/>
          <w:bCs/>
          <w:sz w:val="24"/>
          <w:szCs w:val="24"/>
        </w:rPr>
        <w:t>Distrito Federal possui competência tributária cumulativa</w:t>
      </w:r>
      <w:r w:rsidRPr="00BB4368">
        <w:rPr>
          <w:rFonts w:ascii="Arial" w:hAnsi="Arial" w:cs="Arial"/>
          <w:sz w:val="24"/>
          <w:szCs w:val="24"/>
        </w:rPr>
        <w:t xml:space="preserve">, conforme o </w:t>
      </w:r>
      <w:r w:rsidRPr="00BB4368">
        <w:rPr>
          <w:rFonts w:ascii="Arial" w:hAnsi="Arial" w:cs="Arial"/>
          <w:b/>
          <w:bCs/>
          <w:sz w:val="24"/>
          <w:szCs w:val="24"/>
        </w:rPr>
        <w:t>art. 147 da Constituição Federal</w:t>
      </w:r>
      <w:r w:rsidRPr="00BB4368">
        <w:rPr>
          <w:rFonts w:ascii="Arial" w:hAnsi="Arial" w:cs="Arial"/>
          <w:sz w:val="24"/>
          <w:szCs w:val="24"/>
        </w:rPr>
        <w:t>.</w:t>
      </w:r>
    </w:p>
    <w:p w14:paraId="0B0EF3DA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Isso significa que o Distrito Federal pode instituir tanto os </w:t>
      </w:r>
      <w:r w:rsidRPr="00BB4368">
        <w:rPr>
          <w:rFonts w:ascii="Arial" w:hAnsi="Arial" w:cs="Arial"/>
          <w:b/>
          <w:bCs/>
          <w:sz w:val="24"/>
          <w:szCs w:val="24"/>
        </w:rPr>
        <w:t>tributos de competência dos Estados</w:t>
      </w:r>
      <w:r w:rsidRPr="00BB4368">
        <w:rPr>
          <w:rFonts w:ascii="Arial" w:hAnsi="Arial" w:cs="Arial"/>
          <w:sz w:val="24"/>
          <w:szCs w:val="24"/>
        </w:rPr>
        <w:t xml:space="preserve"> quanto aqueles de competência dos </w:t>
      </w:r>
      <w:r w:rsidRPr="00BB4368">
        <w:rPr>
          <w:rFonts w:ascii="Arial" w:hAnsi="Arial" w:cs="Arial"/>
          <w:b/>
          <w:bCs/>
          <w:sz w:val="24"/>
          <w:szCs w:val="24"/>
        </w:rPr>
        <w:t>Municípios</w:t>
      </w:r>
      <w:r w:rsidRPr="00BB4368">
        <w:rPr>
          <w:rFonts w:ascii="Arial" w:hAnsi="Arial" w:cs="Arial"/>
          <w:sz w:val="24"/>
          <w:szCs w:val="24"/>
        </w:rPr>
        <w:t>.</w:t>
      </w:r>
    </w:p>
    <w:p w14:paraId="57ADBA33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 xml:space="preserve">Por exemplo, historicamente, o Distrito Federal possui competência para instituir </w:t>
      </w:r>
      <w:r w:rsidRPr="00BB4368">
        <w:rPr>
          <w:rFonts w:ascii="Arial" w:hAnsi="Arial" w:cs="Arial"/>
          <w:b/>
          <w:bCs/>
          <w:sz w:val="24"/>
          <w:szCs w:val="24"/>
        </w:rPr>
        <w:t>ICMS e ISS</w:t>
      </w:r>
      <w:r w:rsidRPr="00BB4368">
        <w:rPr>
          <w:rFonts w:ascii="Arial" w:hAnsi="Arial" w:cs="Arial"/>
          <w:sz w:val="24"/>
          <w:szCs w:val="24"/>
        </w:rPr>
        <w:t>, além dos demais impostos estaduais e municipais que lhe sejam atribuídos pela Constituição.</w:t>
      </w:r>
    </w:p>
    <w:p w14:paraId="3ECD25B9" w14:textId="77777777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sz w:val="24"/>
          <w:szCs w:val="24"/>
        </w:rPr>
        <w:t>Com a Reforma Tributária, deve-se considerar a transição do ICMS e do ISS para o IBS.</w:t>
      </w:r>
    </w:p>
    <w:p w14:paraId="5F2CF2F6" w14:textId="77777777" w:rsidR="00BB4368" w:rsidRPr="00BB4368" w:rsidRDefault="00BB4368" w:rsidP="00BB4368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A)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A71AF84" w14:textId="77777777" w:rsidR="00BB4368" w:rsidRPr="00BB4368" w:rsidRDefault="00BB4368" w:rsidP="00BB4368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B)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6674739" w14:textId="77777777" w:rsidR="00BB4368" w:rsidRPr="00BB4368" w:rsidRDefault="00BB4368" w:rsidP="00BB4368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C)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324419A" w14:textId="77777777" w:rsidR="00BB4368" w:rsidRPr="00BB4368" w:rsidRDefault="00BB4368" w:rsidP="00BB4368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D)</w:t>
      </w:r>
      <w:r w:rsidRPr="00BB4368">
        <w:rPr>
          <w:rFonts w:ascii="Arial" w:hAnsi="Arial" w:cs="Arial"/>
          <w:sz w:val="24"/>
          <w:szCs w:val="24"/>
        </w:rPr>
        <w:t xml:space="preserve"> </w:t>
      </w:r>
      <w:r w:rsidRPr="00BB4368">
        <w:rPr>
          <w:rFonts w:ascii="Arial" w:hAnsi="Arial" w:cs="Arial"/>
          <w:b/>
          <w:bCs/>
          <w:sz w:val="24"/>
          <w:szCs w:val="24"/>
        </w:rPr>
        <w:t>Correta.</w:t>
      </w:r>
      <w:r w:rsidRPr="00BB4368">
        <w:rPr>
          <w:rFonts w:ascii="Arial" w:hAnsi="Arial" w:cs="Arial"/>
          <w:sz w:val="24"/>
          <w:szCs w:val="24"/>
        </w:rPr>
        <w:t xml:space="preserve"> </w:t>
      </w:r>
    </w:p>
    <w:p w14:paraId="30F5A05D" w14:textId="77777777" w:rsidR="00BB4368" w:rsidRPr="00BB4368" w:rsidRDefault="00BB4368" w:rsidP="00BB4368">
      <w:pPr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E)</w:t>
      </w:r>
      <w:r w:rsidRPr="00BB4368">
        <w:rPr>
          <w:rFonts w:ascii="Arial" w:hAnsi="Arial" w:cs="Arial"/>
          <w:sz w:val="24"/>
          <w:szCs w:val="24"/>
        </w:rPr>
        <w:t xml:space="preserve"> Incorreta. </w:t>
      </w:r>
    </w:p>
    <w:p w14:paraId="5A15ED72" w14:textId="1777125A" w:rsidR="00BB4368" w:rsidRPr="00BB4368" w:rsidRDefault="00BB4368" w:rsidP="00BB4368">
      <w:pPr>
        <w:rPr>
          <w:rFonts w:ascii="Arial" w:hAnsi="Arial" w:cs="Arial"/>
          <w:sz w:val="24"/>
          <w:szCs w:val="24"/>
        </w:rPr>
      </w:pPr>
    </w:p>
    <w:p w14:paraId="16430A34" w14:textId="77777777" w:rsidR="00BB4368" w:rsidRPr="00BB4368" w:rsidRDefault="00BB4368" w:rsidP="00BB4368">
      <w:pPr>
        <w:rPr>
          <w:rFonts w:ascii="Arial" w:hAnsi="Arial" w:cs="Arial"/>
          <w:b/>
          <w:bCs/>
          <w:sz w:val="24"/>
          <w:szCs w:val="24"/>
        </w:rPr>
      </w:pPr>
      <w:r w:rsidRPr="00BB4368">
        <w:rPr>
          <w:rFonts w:ascii="Arial" w:hAnsi="Arial" w:cs="Arial"/>
          <w:b/>
          <w:bCs/>
          <w:sz w:val="24"/>
          <w:szCs w:val="24"/>
        </w:rPr>
        <w:t>Gabarito consolidado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6"/>
        <w:gridCol w:w="1141"/>
        <w:gridCol w:w="5638"/>
      </w:tblGrid>
      <w:tr w:rsidR="00BB4368" w:rsidRPr="00BB4368" w14:paraId="3256128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EB33ED" w14:textId="77777777" w:rsidR="00BB4368" w:rsidRPr="00BB4368" w:rsidRDefault="00BB4368" w:rsidP="00BB436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Questão</w:t>
            </w:r>
          </w:p>
        </w:tc>
        <w:tc>
          <w:tcPr>
            <w:tcW w:w="0" w:type="auto"/>
            <w:vAlign w:val="center"/>
            <w:hideMark/>
          </w:tcPr>
          <w:p w14:paraId="6E33C610" w14:textId="77777777" w:rsidR="00BB4368" w:rsidRPr="00BB4368" w:rsidRDefault="00BB4368" w:rsidP="00BB436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Resposta</w:t>
            </w:r>
          </w:p>
        </w:tc>
        <w:tc>
          <w:tcPr>
            <w:tcW w:w="0" w:type="auto"/>
            <w:vAlign w:val="center"/>
            <w:hideMark/>
          </w:tcPr>
          <w:p w14:paraId="53425224" w14:textId="77777777" w:rsidR="00BB4368" w:rsidRPr="00BB4368" w:rsidRDefault="00BB4368" w:rsidP="00BB436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Fundamento principal</w:t>
            </w:r>
          </w:p>
        </w:tc>
      </w:tr>
      <w:tr w:rsidR="00BB4368" w:rsidRPr="00BB4368" w14:paraId="4173D2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10E07E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180FE64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0CAC1A26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4368">
              <w:rPr>
                <w:rFonts w:ascii="Arial" w:hAnsi="Arial" w:cs="Arial"/>
                <w:sz w:val="24"/>
                <w:szCs w:val="24"/>
                <w:lang w:val="en-US"/>
              </w:rPr>
              <w:t>CF, art. 145, II; CTN, art. 77; SV 19/STF</w:t>
            </w:r>
          </w:p>
        </w:tc>
      </w:tr>
      <w:tr w:rsidR="00BB4368" w:rsidRPr="00BB4368" w14:paraId="6AD28E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A3E97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DEFEAF6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2815E3D8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sz w:val="24"/>
                <w:szCs w:val="24"/>
              </w:rPr>
              <w:t>CF, art. 156-A; EC 132/2023</w:t>
            </w:r>
          </w:p>
        </w:tc>
      </w:tr>
      <w:tr w:rsidR="00BB4368" w:rsidRPr="00BB4368" w14:paraId="0C58E0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B7447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E98852A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0C3946AC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4368">
              <w:rPr>
                <w:rFonts w:ascii="Arial" w:hAnsi="Arial" w:cs="Arial"/>
                <w:sz w:val="24"/>
                <w:szCs w:val="24"/>
                <w:lang w:val="en-US"/>
              </w:rPr>
              <w:t>CF, art. 145, III; CTN, art. 81</w:t>
            </w:r>
          </w:p>
        </w:tc>
      </w:tr>
      <w:tr w:rsidR="00BB4368" w:rsidRPr="00BB4368" w14:paraId="7A6B365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DE6B6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278C1BD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DAD3F88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sz w:val="24"/>
                <w:szCs w:val="24"/>
              </w:rPr>
              <w:t>CF, art. 153, VIII; EC 132/2023</w:t>
            </w:r>
          </w:p>
        </w:tc>
      </w:tr>
      <w:tr w:rsidR="00BB4368" w:rsidRPr="00BB4368" w14:paraId="4237D7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1BEFD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9D8E015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601935F5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sz w:val="24"/>
                <w:szCs w:val="24"/>
              </w:rPr>
              <w:t>CTN, art. 7º</w:t>
            </w:r>
          </w:p>
        </w:tc>
      </w:tr>
      <w:tr w:rsidR="00BB4368" w:rsidRPr="00BB4368" w14:paraId="253E6C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2F2AA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604489D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D627564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4368">
              <w:rPr>
                <w:rFonts w:ascii="Arial" w:hAnsi="Arial" w:cs="Arial"/>
                <w:sz w:val="24"/>
                <w:szCs w:val="24"/>
                <w:lang w:val="en-US"/>
              </w:rPr>
              <w:t>CF, art. 145, II; CTN, art. 77</w:t>
            </w:r>
          </w:p>
        </w:tc>
      </w:tr>
      <w:tr w:rsidR="00BB4368" w:rsidRPr="00BB4368" w14:paraId="0E7D38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DBD92D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1B277342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537D71A2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sz w:val="24"/>
                <w:szCs w:val="24"/>
              </w:rPr>
              <w:t>CF, art. 156-A; EC 132/2023</w:t>
            </w:r>
          </w:p>
        </w:tc>
      </w:tr>
      <w:tr w:rsidR="00BB4368" w:rsidRPr="00BB4368" w14:paraId="46E47E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F53DF5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F56E7C5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440675DD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4368">
              <w:rPr>
                <w:rFonts w:ascii="Arial" w:hAnsi="Arial" w:cs="Arial"/>
                <w:sz w:val="24"/>
                <w:szCs w:val="24"/>
                <w:lang w:val="en-US"/>
              </w:rPr>
              <w:t>CF, art. 145, III; CTN, art. 81</w:t>
            </w:r>
          </w:p>
        </w:tc>
      </w:tr>
      <w:tr w:rsidR="00BB4368" w:rsidRPr="00BB4368" w14:paraId="7ED3A4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D688FC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F520F21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7A1B27D2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sz w:val="24"/>
                <w:szCs w:val="24"/>
              </w:rPr>
              <w:t>Competência tributária da União; Reforma Tributária</w:t>
            </w:r>
          </w:p>
        </w:tc>
      </w:tr>
      <w:tr w:rsidR="00BB4368" w:rsidRPr="00BB4368" w14:paraId="11C14D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5668F9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605C770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66C0E941" w14:textId="77777777" w:rsidR="00BB4368" w:rsidRPr="00BB4368" w:rsidRDefault="00BB4368" w:rsidP="00BB4368">
            <w:pPr>
              <w:rPr>
                <w:rFonts w:ascii="Arial" w:hAnsi="Arial" w:cs="Arial"/>
                <w:sz w:val="24"/>
                <w:szCs w:val="24"/>
              </w:rPr>
            </w:pPr>
            <w:r w:rsidRPr="00BB4368">
              <w:rPr>
                <w:rFonts w:ascii="Arial" w:hAnsi="Arial" w:cs="Arial"/>
                <w:sz w:val="24"/>
                <w:szCs w:val="24"/>
              </w:rPr>
              <w:t>CF, art. 147</w:t>
            </w:r>
          </w:p>
        </w:tc>
      </w:tr>
    </w:tbl>
    <w:p w14:paraId="3BB36B37" w14:textId="77777777" w:rsidR="00351BE8" w:rsidRDefault="00351BE8" w:rsidP="00351BE8">
      <w:pPr>
        <w:rPr>
          <w:rFonts w:ascii="Arial" w:hAnsi="Arial" w:cs="Arial"/>
          <w:sz w:val="24"/>
          <w:szCs w:val="24"/>
        </w:rPr>
      </w:pPr>
    </w:p>
    <w:p w14:paraId="5A758AED" w14:textId="77777777" w:rsidR="002412E2" w:rsidRDefault="002412E2" w:rsidP="00351BE8">
      <w:pPr>
        <w:rPr>
          <w:rFonts w:ascii="Arial" w:hAnsi="Arial" w:cs="Arial"/>
          <w:sz w:val="24"/>
          <w:szCs w:val="24"/>
        </w:rPr>
      </w:pPr>
    </w:p>
    <w:p w14:paraId="6F0C1137" w14:textId="77777777" w:rsidR="002412E2" w:rsidRDefault="002412E2" w:rsidP="00351BE8">
      <w:pPr>
        <w:rPr>
          <w:rFonts w:ascii="Arial" w:hAnsi="Arial" w:cs="Arial"/>
          <w:sz w:val="24"/>
          <w:szCs w:val="24"/>
        </w:rPr>
      </w:pPr>
    </w:p>
    <w:p w14:paraId="6036C521" w14:textId="77777777" w:rsidR="002412E2" w:rsidRDefault="002412E2" w:rsidP="00351BE8">
      <w:pPr>
        <w:rPr>
          <w:rFonts w:ascii="Arial" w:hAnsi="Arial" w:cs="Arial"/>
          <w:sz w:val="24"/>
          <w:szCs w:val="24"/>
        </w:rPr>
      </w:pPr>
    </w:p>
    <w:p w14:paraId="1E131D1C" w14:textId="21D4F0A1" w:rsidR="008F2206" w:rsidRPr="008F2206" w:rsidRDefault="008F2206" w:rsidP="008F220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F2206">
        <w:rPr>
          <w:rFonts w:ascii="Arial" w:hAnsi="Arial" w:cs="Arial"/>
          <w:b/>
          <w:bCs/>
          <w:sz w:val="28"/>
          <w:szCs w:val="28"/>
        </w:rPr>
        <w:lastRenderedPageBreak/>
        <w:t>Questões Discursivas</w:t>
      </w:r>
    </w:p>
    <w:p w14:paraId="49247FC7" w14:textId="77777777" w:rsidR="008F2206" w:rsidRDefault="008F2206" w:rsidP="00351BE8">
      <w:pPr>
        <w:rPr>
          <w:rFonts w:ascii="Arial" w:hAnsi="Arial" w:cs="Arial"/>
          <w:sz w:val="24"/>
          <w:szCs w:val="24"/>
        </w:rPr>
      </w:pPr>
    </w:p>
    <w:p w14:paraId="09E14F8C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1. Taxa municipal de fiscalização ambiental</w:t>
      </w:r>
    </w:p>
    <w:p w14:paraId="23B5524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cobrança de </w:t>
      </w:r>
      <w:r w:rsidRPr="004F59ED">
        <w:rPr>
          <w:rFonts w:ascii="Arial" w:hAnsi="Arial" w:cs="Arial"/>
          <w:b/>
          <w:bCs/>
          <w:sz w:val="24"/>
          <w:szCs w:val="24"/>
        </w:rPr>
        <w:t>taxa municipal de fiscalização ambiental</w:t>
      </w:r>
      <w:r w:rsidRPr="004F59ED">
        <w:rPr>
          <w:rFonts w:ascii="Arial" w:hAnsi="Arial" w:cs="Arial"/>
          <w:sz w:val="24"/>
          <w:szCs w:val="24"/>
        </w:rPr>
        <w:t xml:space="preserve"> pode ser constitucional, desde que estejam presentes os requisitos próprios das taxas. O fundamento está no </w:t>
      </w:r>
      <w:r w:rsidRPr="004F59ED">
        <w:rPr>
          <w:rFonts w:ascii="Arial" w:hAnsi="Arial" w:cs="Arial"/>
          <w:b/>
          <w:bCs/>
          <w:sz w:val="24"/>
          <w:szCs w:val="24"/>
        </w:rPr>
        <w:t>art. 145, II, da Constituição Federal</w:t>
      </w:r>
      <w:r w:rsidRPr="004F59ED">
        <w:rPr>
          <w:rFonts w:ascii="Arial" w:hAnsi="Arial" w:cs="Arial"/>
          <w:sz w:val="24"/>
          <w:szCs w:val="24"/>
        </w:rPr>
        <w:t xml:space="preserve"> e nos </w:t>
      </w:r>
      <w:proofErr w:type="spellStart"/>
      <w:r w:rsidRPr="004F59ED">
        <w:rPr>
          <w:rFonts w:ascii="Arial" w:hAnsi="Arial" w:cs="Arial"/>
          <w:b/>
          <w:bCs/>
          <w:sz w:val="24"/>
          <w:szCs w:val="24"/>
        </w:rPr>
        <w:t>arts</w:t>
      </w:r>
      <w:proofErr w:type="spellEnd"/>
      <w:r w:rsidRPr="004F59ED">
        <w:rPr>
          <w:rFonts w:ascii="Arial" w:hAnsi="Arial" w:cs="Arial"/>
          <w:b/>
          <w:bCs/>
          <w:sz w:val="24"/>
          <w:szCs w:val="24"/>
        </w:rPr>
        <w:t>. 77 a 80 do CTN</w:t>
      </w:r>
      <w:r w:rsidRPr="004F59ED">
        <w:rPr>
          <w:rFonts w:ascii="Arial" w:hAnsi="Arial" w:cs="Arial"/>
          <w:sz w:val="24"/>
          <w:szCs w:val="24"/>
        </w:rPr>
        <w:t xml:space="preserve">, que autorizam a instituição de taxas em razão do exercício regular do </w:t>
      </w:r>
      <w:r w:rsidRPr="004F59ED">
        <w:rPr>
          <w:rFonts w:ascii="Arial" w:hAnsi="Arial" w:cs="Arial"/>
          <w:b/>
          <w:bCs/>
          <w:sz w:val="24"/>
          <w:szCs w:val="24"/>
        </w:rPr>
        <w:t>poder de polícia</w:t>
      </w:r>
      <w:r w:rsidRPr="004F59ED">
        <w:rPr>
          <w:rFonts w:ascii="Arial" w:hAnsi="Arial" w:cs="Arial"/>
          <w:sz w:val="24"/>
          <w:szCs w:val="24"/>
        </w:rPr>
        <w:t xml:space="preserve"> ou da utilização de serviço público específico e divisível.</w:t>
      </w:r>
    </w:p>
    <w:p w14:paraId="7E222BE8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No caso apresentado, a fiscalização ambiental constitui manifestação do </w:t>
      </w:r>
      <w:r w:rsidRPr="004F59ED">
        <w:rPr>
          <w:rFonts w:ascii="Arial" w:hAnsi="Arial" w:cs="Arial"/>
          <w:b/>
          <w:bCs/>
          <w:sz w:val="24"/>
          <w:szCs w:val="24"/>
        </w:rPr>
        <w:t>poder de polícia administrativa</w:t>
      </w:r>
      <w:r w:rsidRPr="004F59ED">
        <w:rPr>
          <w:rFonts w:ascii="Arial" w:hAnsi="Arial" w:cs="Arial"/>
          <w:sz w:val="24"/>
          <w:szCs w:val="24"/>
        </w:rPr>
        <w:t>, consistente na atividade estatal de limitar ou disciplinar direitos, interesses ou atividades em razão do interesse público, inclusive quanto à proteção do meio ambiente.</w:t>
      </w:r>
    </w:p>
    <w:p w14:paraId="7FFB535F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Entretanto, a simples denominação de “taxa de fiscalização ambiental” não torna a cobrança automaticamente constitucional. É necessário que exista </w:t>
      </w:r>
      <w:r w:rsidRPr="004F59ED">
        <w:rPr>
          <w:rFonts w:ascii="Arial" w:hAnsi="Arial" w:cs="Arial"/>
          <w:b/>
          <w:bCs/>
          <w:sz w:val="24"/>
          <w:szCs w:val="24"/>
        </w:rPr>
        <w:t>efetivo exercício do poder de polícia</w:t>
      </w:r>
      <w:r w:rsidRPr="004F59ED">
        <w:rPr>
          <w:rFonts w:ascii="Arial" w:hAnsi="Arial" w:cs="Arial"/>
          <w:sz w:val="24"/>
          <w:szCs w:val="24"/>
        </w:rPr>
        <w:t>, dentro da competência municipal, e que a taxa esteja instituída por lei. Além disso, a cobrança deve guardar relação razoável com o custo da atividade estatal, não podendo assumir características próprias de imposto.</w:t>
      </w:r>
    </w:p>
    <w:p w14:paraId="67BA5986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art. 78 do CTN</w:t>
      </w:r>
      <w:r w:rsidRPr="004F59ED">
        <w:rPr>
          <w:rFonts w:ascii="Arial" w:hAnsi="Arial" w:cs="Arial"/>
          <w:sz w:val="24"/>
          <w:szCs w:val="24"/>
        </w:rPr>
        <w:t xml:space="preserve"> define o poder de polícia e exige que seu exercício seja regular. Portanto, para a empresa multinacional, o fato de possuir grande porte ou origem estrangeira não afasta a obrigação tributária, desde que a taxa tenha sido validamente instituída e sejam atendidos os requisitos constitucionais e legais.</w:t>
      </w:r>
    </w:p>
    <w:p w14:paraId="730946D0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Conclusão:</w:t>
      </w:r>
      <w:r w:rsidRPr="004F59ED">
        <w:rPr>
          <w:rFonts w:ascii="Arial" w:hAnsi="Arial" w:cs="Arial"/>
          <w:sz w:val="24"/>
          <w:szCs w:val="24"/>
        </w:rPr>
        <w:t xml:space="preserve"> a taxa é constitucionalmente possível, mas sua validade depende da existência de competência municipal, lei instituidora, exercício regular do poder de polícia e observância dos limites constitucionais e legais aplicáveis às taxas.</w:t>
      </w:r>
    </w:p>
    <w:p w14:paraId="45EE914C" w14:textId="4C9391C9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6C48F4A3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2. Diferenças entre imposto, taxa e contribuição de melhoria</w:t>
      </w:r>
    </w:p>
    <w:p w14:paraId="45DDFDD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Imposto, taxa e contribuição de melhoria são espécies tributárias distintas</w:t>
      </w:r>
      <w:r w:rsidRPr="004F59ED">
        <w:rPr>
          <w:rFonts w:ascii="Arial" w:hAnsi="Arial" w:cs="Arial"/>
          <w:sz w:val="24"/>
          <w:szCs w:val="24"/>
        </w:rPr>
        <w:t>, embora todas sejam tributos.</w:t>
      </w:r>
    </w:p>
    <w:p w14:paraId="7060C972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imposto</w:t>
      </w:r>
      <w:r w:rsidRPr="004F59ED">
        <w:rPr>
          <w:rFonts w:ascii="Arial" w:hAnsi="Arial" w:cs="Arial"/>
          <w:sz w:val="24"/>
          <w:szCs w:val="24"/>
        </w:rPr>
        <w:t xml:space="preserve"> é um tributo cujo fato gerador não está vinculado a uma atuação estatal específica relativa ao contribuinte. O </w:t>
      </w:r>
      <w:r w:rsidRPr="004F59ED">
        <w:rPr>
          <w:rFonts w:ascii="Arial" w:hAnsi="Arial" w:cs="Arial"/>
          <w:b/>
          <w:bCs/>
          <w:sz w:val="24"/>
          <w:szCs w:val="24"/>
        </w:rPr>
        <w:t>art. 16 do CTN</w:t>
      </w:r>
      <w:r w:rsidRPr="004F59ED">
        <w:rPr>
          <w:rFonts w:ascii="Arial" w:hAnsi="Arial" w:cs="Arial"/>
          <w:sz w:val="24"/>
          <w:szCs w:val="24"/>
        </w:rPr>
        <w:t xml:space="preserve"> estabelece que imposto é o tributo cuja obrigação tem por fato gerador uma situação independente de qualquer atividade estatal específica relativa ao contribuinte.</w:t>
      </w:r>
    </w:p>
    <w:p w14:paraId="4C1D032A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Exemplos empresariais são o </w:t>
      </w:r>
      <w:r w:rsidRPr="004F59ED">
        <w:rPr>
          <w:rFonts w:ascii="Arial" w:hAnsi="Arial" w:cs="Arial"/>
          <w:b/>
          <w:bCs/>
          <w:sz w:val="24"/>
          <w:szCs w:val="24"/>
        </w:rPr>
        <w:t>IRPJ</w:t>
      </w:r>
      <w:r w:rsidRPr="004F59ED">
        <w:rPr>
          <w:rFonts w:ascii="Arial" w:hAnsi="Arial" w:cs="Arial"/>
          <w:sz w:val="24"/>
          <w:szCs w:val="24"/>
        </w:rPr>
        <w:t xml:space="preserve">, incidente sobre a renda ou proventos; o </w:t>
      </w:r>
      <w:r w:rsidRPr="004F59ED">
        <w:rPr>
          <w:rFonts w:ascii="Arial" w:hAnsi="Arial" w:cs="Arial"/>
          <w:b/>
          <w:bCs/>
          <w:sz w:val="24"/>
          <w:szCs w:val="24"/>
        </w:rPr>
        <w:t>IPTU</w:t>
      </w:r>
      <w:r w:rsidRPr="004F59ED">
        <w:rPr>
          <w:rFonts w:ascii="Arial" w:hAnsi="Arial" w:cs="Arial"/>
          <w:sz w:val="24"/>
          <w:szCs w:val="24"/>
        </w:rPr>
        <w:t xml:space="preserve">, sobre propriedade urbana; e, no sistema atual em transição, o </w:t>
      </w:r>
      <w:r w:rsidRPr="004F59ED">
        <w:rPr>
          <w:rFonts w:ascii="Arial" w:hAnsi="Arial" w:cs="Arial"/>
          <w:b/>
          <w:bCs/>
          <w:sz w:val="24"/>
          <w:szCs w:val="24"/>
        </w:rPr>
        <w:t>ICMS</w:t>
      </w:r>
      <w:r w:rsidRPr="004F59ED">
        <w:rPr>
          <w:rFonts w:ascii="Arial" w:hAnsi="Arial" w:cs="Arial"/>
          <w:sz w:val="24"/>
          <w:szCs w:val="24"/>
        </w:rPr>
        <w:t>, cuja substituição pelo IBS ocorrerá progressivamente.</w:t>
      </w:r>
    </w:p>
    <w:p w14:paraId="100F39B4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</w:t>
      </w:r>
      <w:r w:rsidRPr="004F59ED">
        <w:rPr>
          <w:rFonts w:ascii="Arial" w:hAnsi="Arial" w:cs="Arial"/>
          <w:b/>
          <w:bCs/>
          <w:sz w:val="24"/>
          <w:szCs w:val="24"/>
        </w:rPr>
        <w:t>taxa</w:t>
      </w:r>
      <w:r w:rsidRPr="004F59ED">
        <w:rPr>
          <w:rFonts w:ascii="Arial" w:hAnsi="Arial" w:cs="Arial"/>
          <w:sz w:val="24"/>
          <w:szCs w:val="24"/>
        </w:rPr>
        <w:t xml:space="preserve">, por sua vez, pressupõe uma atuação estatal específica. Conforme o </w:t>
      </w:r>
      <w:r w:rsidRPr="004F59ED">
        <w:rPr>
          <w:rFonts w:ascii="Arial" w:hAnsi="Arial" w:cs="Arial"/>
          <w:b/>
          <w:bCs/>
          <w:sz w:val="24"/>
          <w:szCs w:val="24"/>
        </w:rPr>
        <w:t>art. 145, II, da Constituição Federal</w:t>
      </w:r>
      <w:r w:rsidRPr="004F59ED">
        <w:rPr>
          <w:rFonts w:ascii="Arial" w:hAnsi="Arial" w:cs="Arial"/>
          <w:sz w:val="24"/>
          <w:szCs w:val="24"/>
        </w:rPr>
        <w:t xml:space="preserve"> e o </w:t>
      </w:r>
      <w:r w:rsidRPr="004F59ED">
        <w:rPr>
          <w:rFonts w:ascii="Arial" w:hAnsi="Arial" w:cs="Arial"/>
          <w:b/>
          <w:bCs/>
          <w:sz w:val="24"/>
          <w:szCs w:val="24"/>
        </w:rPr>
        <w:t>art. 77 do CTN</w:t>
      </w:r>
      <w:r w:rsidRPr="004F59ED">
        <w:rPr>
          <w:rFonts w:ascii="Arial" w:hAnsi="Arial" w:cs="Arial"/>
          <w:sz w:val="24"/>
          <w:szCs w:val="24"/>
        </w:rPr>
        <w:t>, pode decorrer do exercício do poder de polícia ou da utilização de serviço público específico e divisível. Um exemplo empresarial seria uma taxa de fiscalização sanitária ou ambiental.</w:t>
      </w:r>
    </w:p>
    <w:p w14:paraId="332560E5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Já a </w:t>
      </w:r>
      <w:r w:rsidRPr="004F59ED">
        <w:rPr>
          <w:rFonts w:ascii="Arial" w:hAnsi="Arial" w:cs="Arial"/>
          <w:b/>
          <w:bCs/>
          <w:sz w:val="24"/>
          <w:szCs w:val="24"/>
        </w:rPr>
        <w:t>contribuição de melhoria</w:t>
      </w:r>
      <w:r w:rsidRPr="004F59ED">
        <w:rPr>
          <w:rFonts w:ascii="Arial" w:hAnsi="Arial" w:cs="Arial"/>
          <w:sz w:val="24"/>
          <w:szCs w:val="24"/>
        </w:rPr>
        <w:t xml:space="preserve"> decorre da realização de </w:t>
      </w:r>
      <w:r w:rsidRPr="004F59ED">
        <w:rPr>
          <w:rFonts w:ascii="Arial" w:hAnsi="Arial" w:cs="Arial"/>
          <w:b/>
          <w:bCs/>
          <w:sz w:val="24"/>
          <w:szCs w:val="24"/>
        </w:rPr>
        <w:t>obra pública que provoque valorização imobiliária</w:t>
      </w:r>
      <w:r w:rsidRPr="004F59ED">
        <w:rPr>
          <w:rFonts w:ascii="Arial" w:hAnsi="Arial" w:cs="Arial"/>
          <w:sz w:val="24"/>
          <w:szCs w:val="24"/>
        </w:rPr>
        <w:t xml:space="preserve">, conforme o art. 145, III, da Constituição e o art. 81 do CTN. Um </w:t>
      </w:r>
      <w:r w:rsidRPr="004F59ED">
        <w:rPr>
          <w:rFonts w:ascii="Arial" w:hAnsi="Arial" w:cs="Arial"/>
          <w:sz w:val="24"/>
          <w:szCs w:val="24"/>
        </w:rPr>
        <w:lastRenderedPageBreak/>
        <w:t>exemplo seria uma empresa proprietária de imóvel que tenha obtido valorização decorrente da construção de uma obra pública.</w:t>
      </w:r>
    </w:p>
    <w:p w14:paraId="3C02F501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Assim, a diferença fundamental está na </w:t>
      </w:r>
      <w:r w:rsidRPr="004F59ED">
        <w:rPr>
          <w:rFonts w:ascii="Arial" w:hAnsi="Arial" w:cs="Arial"/>
          <w:b/>
          <w:bCs/>
          <w:sz w:val="24"/>
          <w:szCs w:val="24"/>
        </w:rPr>
        <w:t>relação entre o fato gerador e a atuação estatal</w:t>
      </w:r>
      <w:r w:rsidRPr="004F59ED">
        <w:rPr>
          <w:rFonts w:ascii="Arial" w:hAnsi="Arial" w:cs="Arial"/>
          <w:sz w:val="24"/>
          <w:szCs w:val="24"/>
        </w:rPr>
        <w:t>:</w:t>
      </w:r>
    </w:p>
    <w:p w14:paraId="587DE999" w14:textId="77777777" w:rsidR="004F59ED" w:rsidRPr="004F59ED" w:rsidRDefault="004F59ED" w:rsidP="004F59ED">
      <w:pPr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Imposto:</w:t>
      </w:r>
      <w:r w:rsidRPr="004F59ED">
        <w:rPr>
          <w:rFonts w:ascii="Arial" w:hAnsi="Arial" w:cs="Arial"/>
          <w:sz w:val="24"/>
          <w:szCs w:val="24"/>
        </w:rPr>
        <w:t xml:space="preserve"> não há vinculação direta a uma atuação estatal específica; </w:t>
      </w:r>
    </w:p>
    <w:p w14:paraId="7177824C" w14:textId="77777777" w:rsidR="004F59ED" w:rsidRPr="004F59ED" w:rsidRDefault="004F59ED" w:rsidP="004F59ED">
      <w:pPr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Taxa:</w:t>
      </w:r>
      <w:r w:rsidRPr="004F59ED">
        <w:rPr>
          <w:rFonts w:ascii="Arial" w:hAnsi="Arial" w:cs="Arial"/>
          <w:sz w:val="24"/>
          <w:szCs w:val="24"/>
        </w:rPr>
        <w:t xml:space="preserve"> há atuação estatal específica, mediante serviço público específico e divisível ou poder de polícia; </w:t>
      </w:r>
    </w:p>
    <w:p w14:paraId="10CE9725" w14:textId="77777777" w:rsidR="004F59ED" w:rsidRPr="004F59ED" w:rsidRDefault="004F59ED" w:rsidP="004F59ED">
      <w:pPr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Contribuição de melhoria:</w:t>
      </w:r>
      <w:r w:rsidRPr="004F59ED">
        <w:rPr>
          <w:rFonts w:ascii="Arial" w:hAnsi="Arial" w:cs="Arial"/>
          <w:sz w:val="24"/>
          <w:szCs w:val="24"/>
        </w:rPr>
        <w:t xml:space="preserve"> há obra pública que provoca valorização imobiliária. </w:t>
      </w:r>
    </w:p>
    <w:p w14:paraId="608931E4" w14:textId="7B782E42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0A4BF4AA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3. Contribuição de melhoria e valorização dos imóveis</w:t>
      </w:r>
    </w:p>
    <w:p w14:paraId="1EF5C266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contribuição de melhoria encontra fundamento no </w:t>
      </w:r>
      <w:r w:rsidRPr="004F59ED">
        <w:rPr>
          <w:rFonts w:ascii="Arial" w:hAnsi="Arial" w:cs="Arial"/>
          <w:b/>
          <w:bCs/>
          <w:sz w:val="24"/>
          <w:szCs w:val="24"/>
        </w:rPr>
        <w:t>art. 145, III, da Constituição Federal</w:t>
      </w:r>
      <w:r w:rsidRPr="004F59ED">
        <w:rPr>
          <w:rFonts w:ascii="Arial" w:hAnsi="Arial" w:cs="Arial"/>
          <w:sz w:val="24"/>
          <w:szCs w:val="24"/>
        </w:rPr>
        <w:t>, que autoriza União, Estados, Distrito Federal e Municípios a instituí-la em decorrência de obras públicas.</w:t>
      </w:r>
    </w:p>
    <w:p w14:paraId="552F9613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art. 81 do CTN</w:t>
      </w:r>
      <w:r w:rsidRPr="004F59ED">
        <w:rPr>
          <w:rFonts w:ascii="Arial" w:hAnsi="Arial" w:cs="Arial"/>
          <w:sz w:val="24"/>
          <w:szCs w:val="24"/>
        </w:rPr>
        <w:t xml:space="preserve"> estabelece que a contribuição tem como limite total a </w:t>
      </w:r>
      <w:r w:rsidRPr="004F59ED">
        <w:rPr>
          <w:rFonts w:ascii="Arial" w:hAnsi="Arial" w:cs="Arial"/>
          <w:b/>
          <w:bCs/>
          <w:sz w:val="24"/>
          <w:szCs w:val="24"/>
        </w:rPr>
        <w:t>despesa realizada com a obra pública</w:t>
      </w:r>
      <w:r w:rsidRPr="004F59ED">
        <w:rPr>
          <w:rFonts w:ascii="Arial" w:hAnsi="Arial" w:cs="Arial"/>
          <w:sz w:val="24"/>
          <w:szCs w:val="24"/>
        </w:rPr>
        <w:t xml:space="preserve"> e, como limite individual, o </w:t>
      </w:r>
      <w:r w:rsidRPr="004F59ED">
        <w:rPr>
          <w:rFonts w:ascii="Arial" w:hAnsi="Arial" w:cs="Arial"/>
          <w:b/>
          <w:bCs/>
          <w:sz w:val="24"/>
          <w:szCs w:val="24"/>
        </w:rPr>
        <w:t>acréscimo de valor que da obra resultar para cada imóvel beneficiado</w:t>
      </w:r>
      <w:r w:rsidRPr="004F59ED">
        <w:rPr>
          <w:rFonts w:ascii="Arial" w:hAnsi="Arial" w:cs="Arial"/>
          <w:sz w:val="24"/>
          <w:szCs w:val="24"/>
        </w:rPr>
        <w:t>.</w:t>
      </w:r>
    </w:p>
    <w:p w14:paraId="1D9D3AA2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Portanto, não basta a existência de uma obra pública. É indispensável demonstrar a </w:t>
      </w:r>
      <w:r w:rsidRPr="004F59ED">
        <w:rPr>
          <w:rFonts w:ascii="Arial" w:hAnsi="Arial" w:cs="Arial"/>
          <w:b/>
          <w:bCs/>
          <w:sz w:val="24"/>
          <w:szCs w:val="24"/>
        </w:rPr>
        <w:t>valorização imobiliária decorrente da obra</w:t>
      </w:r>
      <w:r w:rsidRPr="004F59ED">
        <w:rPr>
          <w:rFonts w:ascii="Arial" w:hAnsi="Arial" w:cs="Arial"/>
          <w:sz w:val="24"/>
          <w:szCs w:val="24"/>
        </w:rPr>
        <w:t>.</w:t>
      </w:r>
    </w:p>
    <w:p w14:paraId="33DF29A0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No caso da construtora, deverão ser observados, entre outros, os seguintes requisitos:</w:t>
      </w:r>
    </w:p>
    <w:p w14:paraId="134CB1A0" w14:textId="77777777" w:rsidR="004F59ED" w:rsidRPr="004F59ED" w:rsidRDefault="004F59ED" w:rsidP="004F59ED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existência de </w:t>
      </w:r>
      <w:r w:rsidRPr="004F59ED">
        <w:rPr>
          <w:rFonts w:ascii="Arial" w:hAnsi="Arial" w:cs="Arial"/>
          <w:b/>
          <w:bCs/>
          <w:sz w:val="24"/>
          <w:szCs w:val="24"/>
        </w:rPr>
        <w:t>obra pública</w:t>
      </w:r>
      <w:r w:rsidRPr="004F59ED">
        <w:rPr>
          <w:rFonts w:ascii="Arial" w:hAnsi="Arial" w:cs="Arial"/>
          <w:sz w:val="24"/>
          <w:szCs w:val="24"/>
        </w:rPr>
        <w:t xml:space="preserve">; </w:t>
      </w:r>
    </w:p>
    <w:p w14:paraId="0046FA15" w14:textId="77777777" w:rsidR="004F59ED" w:rsidRPr="004F59ED" w:rsidRDefault="004F59ED" w:rsidP="004F59ED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realização da obra pelo Poder Público; </w:t>
      </w:r>
    </w:p>
    <w:p w14:paraId="3DF49886" w14:textId="77777777" w:rsidR="004F59ED" w:rsidRPr="004F59ED" w:rsidRDefault="004F59ED" w:rsidP="004F59ED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valorização dos imóveis; </w:t>
      </w:r>
    </w:p>
    <w:p w14:paraId="6B8C1C8D" w14:textId="77777777" w:rsidR="004F59ED" w:rsidRPr="004F59ED" w:rsidRDefault="004F59ED" w:rsidP="004F59ED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nexo causal entre a obra e a valorização; </w:t>
      </w:r>
    </w:p>
    <w:p w14:paraId="79304D92" w14:textId="77777777" w:rsidR="004F59ED" w:rsidRPr="004F59ED" w:rsidRDefault="004F59ED" w:rsidP="004F59ED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instituição do tributo mediante </w:t>
      </w:r>
      <w:r w:rsidRPr="004F59ED">
        <w:rPr>
          <w:rFonts w:ascii="Arial" w:hAnsi="Arial" w:cs="Arial"/>
          <w:b/>
          <w:bCs/>
          <w:sz w:val="24"/>
          <w:szCs w:val="24"/>
        </w:rPr>
        <w:t>lei</w:t>
      </w:r>
      <w:r w:rsidRPr="004F59ED">
        <w:rPr>
          <w:rFonts w:ascii="Arial" w:hAnsi="Arial" w:cs="Arial"/>
          <w:sz w:val="24"/>
          <w:szCs w:val="24"/>
        </w:rPr>
        <w:t xml:space="preserve">; </w:t>
      </w:r>
    </w:p>
    <w:p w14:paraId="4D1CE016" w14:textId="77777777" w:rsidR="004F59ED" w:rsidRPr="004F59ED" w:rsidRDefault="004F59ED" w:rsidP="004F59ED">
      <w:pPr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observância dos limites global e individual da cobrança. </w:t>
      </w:r>
    </w:p>
    <w:p w14:paraId="67CD842E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Decreto-Lei nº 195/1967</w:t>
      </w:r>
      <w:r w:rsidRPr="004F59ED">
        <w:rPr>
          <w:rFonts w:ascii="Arial" w:hAnsi="Arial" w:cs="Arial"/>
          <w:sz w:val="24"/>
          <w:szCs w:val="24"/>
        </w:rPr>
        <w:t xml:space="preserve"> também disciplina a contribuição de melhoria no âmbito federal e estabelece requisitos específicos para sua instituição e cobrança.</w:t>
      </w:r>
    </w:p>
    <w:p w14:paraId="5254D0E5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Assim, o Município não pode simplesmente considerar que todos os imóveis localizados na região foram beneficiados e cobrar valores arbitrários. A cobrança deve observar a efetiva valorização decorrente da obra e os limites legais.</w:t>
      </w:r>
    </w:p>
    <w:p w14:paraId="1ADEC885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Conclusão:</w:t>
      </w:r>
      <w:r w:rsidRPr="004F59ED">
        <w:rPr>
          <w:rFonts w:ascii="Arial" w:hAnsi="Arial" w:cs="Arial"/>
          <w:sz w:val="24"/>
          <w:szCs w:val="24"/>
        </w:rPr>
        <w:t xml:space="preserve"> a contribuição é juridicamente possível, mas não pode ultrapassar o custo total da obra nem o valor da valorização individual do imóvel.</w:t>
      </w:r>
    </w:p>
    <w:p w14:paraId="6FBF5C4C" w14:textId="75B352B0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1B44C27A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4. IBS e CBS após a EC nº 132/2023</w:t>
      </w:r>
    </w:p>
    <w:p w14:paraId="37E58755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</w:t>
      </w:r>
      <w:r w:rsidRPr="004F59ED">
        <w:rPr>
          <w:rFonts w:ascii="Arial" w:hAnsi="Arial" w:cs="Arial"/>
          <w:b/>
          <w:bCs/>
          <w:sz w:val="24"/>
          <w:szCs w:val="24"/>
        </w:rPr>
        <w:t>EC nº 132/2023</w:t>
      </w:r>
      <w:r w:rsidRPr="004F59ED">
        <w:rPr>
          <w:rFonts w:ascii="Arial" w:hAnsi="Arial" w:cs="Arial"/>
          <w:sz w:val="24"/>
          <w:szCs w:val="24"/>
        </w:rPr>
        <w:t xml:space="preserve"> promoveu profunda alteração no sistema de tributação sobre o consumo.</w:t>
      </w:r>
    </w:p>
    <w:p w14:paraId="7B858684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lastRenderedPageBreak/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IBS – Imposto sobre Bens e Serviços</w:t>
      </w:r>
      <w:r w:rsidRPr="004F59ED">
        <w:rPr>
          <w:rFonts w:ascii="Arial" w:hAnsi="Arial" w:cs="Arial"/>
          <w:sz w:val="24"/>
          <w:szCs w:val="24"/>
        </w:rPr>
        <w:t xml:space="preserve"> foi previsto no </w:t>
      </w:r>
      <w:r w:rsidRPr="004F59ED">
        <w:rPr>
          <w:rFonts w:ascii="Arial" w:hAnsi="Arial" w:cs="Arial"/>
          <w:b/>
          <w:bCs/>
          <w:sz w:val="24"/>
          <w:szCs w:val="24"/>
        </w:rPr>
        <w:t>art. 156-A da Constituição Federal</w:t>
      </w:r>
      <w:r w:rsidRPr="004F59ED">
        <w:rPr>
          <w:rFonts w:ascii="Arial" w:hAnsi="Arial" w:cs="Arial"/>
          <w:sz w:val="24"/>
          <w:szCs w:val="24"/>
        </w:rPr>
        <w:t xml:space="preserve"> e será de competência compartilhada entre </w:t>
      </w:r>
      <w:r w:rsidRPr="004F59ED">
        <w:rPr>
          <w:rFonts w:ascii="Arial" w:hAnsi="Arial" w:cs="Arial"/>
          <w:b/>
          <w:bCs/>
          <w:sz w:val="24"/>
          <w:szCs w:val="24"/>
        </w:rPr>
        <w:t>Estados, Distrito Federal e Municípios</w:t>
      </w:r>
      <w:r w:rsidRPr="004F59ED">
        <w:rPr>
          <w:rFonts w:ascii="Arial" w:hAnsi="Arial" w:cs="Arial"/>
          <w:sz w:val="24"/>
          <w:szCs w:val="24"/>
        </w:rPr>
        <w:t xml:space="preserve">. Ele substituirá progressivamente, durante o período de transição, o </w:t>
      </w:r>
      <w:r w:rsidRPr="004F59ED">
        <w:rPr>
          <w:rFonts w:ascii="Arial" w:hAnsi="Arial" w:cs="Arial"/>
          <w:b/>
          <w:bCs/>
          <w:sz w:val="24"/>
          <w:szCs w:val="24"/>
        </w:rPr>
        <w:t>ICMS e o ISS</w:t>
      </w:r>
      <w:r w:rsidRPr="004F59ED">
        <w:rPr>
          <w:rFonts w:ascii="Arial" w:hAnsi="Arial" w:cs="Arial"/>
          <w:sz w:val="24"/>
          <w:szCs w:val="24"/>
        </w:rPr>
        <w:t>.</w:t>
      </w:r>
    </w:p>
    <w:p w14:paraId="4C867076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</w:t>
      </w:r>
      <w:r w:rsidRPr="004F59ED">
        <w:rPr>
          <w:rFonts w:ascii="Arial" w:hAnsi="Arial" w:cs="Arial"/>
          <w:b/>
          <w:bCs/>
          <w:sz w:val="24"/>
          <w:szCs w:val="24"/>
        </w:rPr>
        <w:t>CBS – Contribuição sobre Bens e Serviços</w:t>
      </w:r>
      <w:r w:rsidRPr="004F59ED">
        <w:rPr>
          <w:rFonts w:ascii="Arial" w:hAnsi="Arial" w:cs="Arial"/>
          <w:sz w:val="24"/>
          <w:szCs w:val="24"/>
        </w:rPr>
        <w:t xml:space="preserve">, por sua vez, integra o novo modelo federal de tributação do consumo e substitui progressivamente as contribuições federais incidentes sobre o consumo, especialmente </w:t>
      </w:r>
      <w:r w:rsidRPr="004F59ED">
        <w:rPr>
          <w:rFonts w:ascii="Arial" w:hAnsi="Arial" w:cs="Arial"/>
          <w:b/>
          <w:bCs/>
          <w:sz w:val="24"/>
          <w:szCs w:val="24"/>
        </w:rPr>
        <w:t xml:space="preserve">PIS e </w:t>
      </w:r>
      <w:proofErr w:type="spellStart"/>
      <w:r w:rsidRPr="004F59ED">
        <w:rPr>
          <w:rFonts w:ascii="Arial" w:hAnsi="Arial" w:cs="Arial"/>
          <w:b/>
          <w:bCs/>
          <w:sz w:val="24"/>
          <w:szCs w:val="24"/>
        </w:rPr>
        <w:t>Cofins</w:t>
      </w:r>
      <w:proofErr w:type="spellEnd"/>
      <w:r w:rsidRPr="004F59ED">
        <w:rPr>
          <w:rFonts w:ascii="Arial" w:hAnsi="Arial" w:cs="Arial"/>
          <w:sz w:val="24"/>
          <w:szCs w:val="24"/>
        </w:rPr>
        <w:t>, conforme a legislação de regulamentação da Reforma.</w:t>
      </w:r>
    </w:p>
    <w:p w14:paraId="5C95381B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Para as empresas, a mudança produz impactos relevantes em:</w:t>
      </w:r>
    </w:p>
    <w:p w14:paraId="63964A75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formação de preços; </w:t>
      </w:r>
    </w:p>
    <w:p w14:paraId="17B364DD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contratos de longo prazo; </w:t>
      </w:r>
    </w:p>
    <w:p w14:paraId="58313D83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sistemas ERP; </w:t>
      </w:r>
    </w:p>
    <w:p w14:paraId="7411B283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emissão de documentos fiscais; </w:t>
      </w:r>
    </w:p>
    <w:p w14:paraId="65FA4951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parametrização tributária; </w:t>
      </w:r>
    </w:p>
    <w:p w14:paraId="4DDBA0D6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aproveitamento de créditos; </w:t>
      </w:r>
    </w:p>
    <w:p w14:paraId="7DB6079B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planejamento tributário; </w:t>
      </w:r>
    </w:p>
    <w:p w14:paraId="4B4ECBA8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gestão da cadeia de fornecedores; </w:t>
      </w:r>
    </w:p>
    <w:p w14:paraId="28E7B9BC" w14:textId="77777777" w:rsidR="004F59ED" w:rsidRPr="004F59ED" w:rsidRDefault="004F59ED" w:rsidP="004F59ED">
      <w:pPr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compliance fiscal. </w:t>
      </w:r>
    </w:p>
    <w:p w14:paraId="5CCD22A2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Reforma também busca estabelecer uma sistemática de tributação sobre o consumo baseada na </w:t>
      </w:r>
      <w:r w:rsidRPr="004F59ED">
        <w:rPr>
          <w:rFonts w:ascii="Arial" w:hAnsi="Arial" w:cs="Arial"/>
          <w:b/>
          <w:bCs/>
          <w:sz w:val="24"/>
          <w:szCs w:val="24"/>
        </w:rPr>
        <w:t>não cumulatividade</w:t>
      </w:r>
      <w:r w:rsidRPr="004F59ED">
        <w:rPr>
          <w:rFonts w:ascii="Arial" w:hAnsi="Arial" w:cs="Arial"/>
          <w:sz w:val="24"/>
          <w:szCs w:val="24"/>
        </w:rPr>
        <w:t>, com aproveitamento de créditos dentro das regras constitucionais e legais.</w:t>
      </w:r>
    </w:p>
    <w:p w14:paraId="44B689AD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Portanto, a mudança não representa apenas substituição de siglas. Ela exige </w:t>
      </w:r>
      <w:r w:rsidRPr="004F59ED">
        <w:rPr>
          <w:rFonts w:ascii="Arial" w:hAnsi="Arial" w:cs="Arial"/>
          <w:b/>
          <w:bCs/>
          <w:sz w:val="24"/>
          <w:szCs w:val="24"/>
        </w:rPr>
        <w:t>readequação dos processos fiscais, contábeis, financeiros e tecnológicos das empresas</w:t>
      </w:r>
      <w:r w:rsidRPr="004F59ED">
        <w:rPr>
          <w:rFonts w:ascii="Arial" w:hAnsi="Arial" w:cs="Arial"/>
          <w:sz w:val="24"/>
          <w:szCs w:val="24"/>
        </w:rPr>
        <w:t>.</w:t>
      </w:r>
    </w:p>
    <w:p w14:paraId="29CC901C" w14:textId="641E33BA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27C148FB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5. Natureza e função extrafiscal do Imposto Seletivo</w:t>
      </w:r>
    </w:p>
    <w:p w14:paraId="3D19919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Imposto Seletivo (IS)</w:t>
      </w:r>
      <w:r w:rsidRPr="004F59ED">
        <w:rPr>
          <w:rFonts w:ascii="Arial" w:hAnsi="Arial" w:cs="Arial"/>
          <w:sz w:val="24"/>
          <w:szCs w:val="24"/>
        </w:rPr>
        <w:t xml:space="preserve"> foi introduzido pela EC nº 132/2023 e está previsto no </w:t>
      </w:r>
      <w:r w:rsidRPr="004F59ED">
        <w:rPr>
          <w:rFonts w:ascii="Arial" w:hAnsi="Arial" w:cs="Arial"/>
          <w:b/>
          <w:bCs/>
          <w:sz w:val="24"/>
          <w:szCs w:val="24"/>
        </w:rPr>
        <w:t>art. 153, VIII, da Constituição Federal</w:t>
      </w:r>
      <w:r w:rsidRPr="004F59ED">
        <w:rPr>
          <w:rFonts w:ascii="Arial" w:hAnsi="Arial" w:cs="Arial"/>
          <w:sz w:val="24"/>
          <w:szCs w:val="24"/>
        </w:rPr>
        <w:t>.</w:t>
      </w:r>
    </w:p>
    <w:p w14:paraId="18F3F201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Sua principal característica é a </w:t>
      </w:r>
      <w:r w:rsidRPr="004F59ED">
        <w:rPr>
          <w:rFonts w:ascii="Arial" w:hAnsi="Arial" w:cs="Arial"/>
          <w:b/>
          <w:bCs/>
          <w:sz w:val="24"/>
          <w:szCs w:val="24"/>
        </w:rPr>
        <w:t>extrafiscalidade</w:t>
      </w:r>
      <w:r w:rsidRPr="004F59ED">
        <w:rPr>
          <w:rFonts w:ascii="Arial" w:hAnsi="Arial" w:cs="Arial"/>
          <w:sz w:val="24"/>
          <w:szCs w:val="24"/>
        </w:rPr>
        <w:t xml:space="preserve">. Diferentemente de um tributo utilizado predominantemente para arrecadar recursos, o Imposto Seletivo possui finalidade regulatória, buscando </w:t>
      </w:r>
      <w:r w:rsidRPr="004F59ED">
        <w:rPr>
          <w:rFonts w:ascii="Arial" w:hAnsi="Arial" w:cs="Arial"/>
          <w:b/>
          <w:bCs/>
          <w:sz w:val="24"/>
          <w:szCs w:val="24"/>
        </w:rPr>
        <w:t>desestimular o consumo de determinados bens e serviços prejudiciais à saúde ou ao meio ambiente</w:t>
      </w:r>
      <w:r w:rsidRPr="004F59ED">
        <w:rPr>
          <w:rFonts w:ascii="Arial" w:hAnsi="Arial" w:cs="Arial"/>
          <w:sz w:val="24"/>
          <w:szCs w:val="24"/>
        </w:rPr>
        <w:t>.</w:t>
      </w:r>
    </w:p>
    <w:p w14:paraId="6197CC28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A empresa que produzir ou comercializar bens alcançados pelo Imposto Seletivo deverá considerar a incidência do tributo em sua estrutura de custos, preços e planejamento fiscal.</w:t>
      </w:r>
    </w:p>
    <w:p w14:paraId="177FF26D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A extrafiscalidade, contudo, não significa ausência de limites jurídicos. A instituição e a cobrança do imposto devem respeitar os princípios constitucionais tributários, bem como a legislação que definir os bens e serviços sujeitos à tributação.</w:t>
      </w:r>
    </w:p>
    <w:p w14:paraId="2283F58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lastRenderedPageBreak/>
        <w:t>Para empresas produtoras de produtos sujeitos ao IS, os impactos podem alcançar:</w:t>
      </w:r>
    </w:p>
    <w:p w14:paraId="3B6FCD4F" w14:textId="77777777" w:rsidR="004F59ED" w:rsidRPr="004F59ED" w:rsidRDefault="004F59ED" w:rsidP="004F59ED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preço de venda; </w:t>
      </w:r>
    </w:p>
    <w:p w14:paraId="4B24142F" w14:textId="77777777" w:rsidR="004F59ED" w:rsidRPr="004F59ED" w:rsidRDefault="004F59ED" w:rsidP="004F59ED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margem de contribuição; </w:t>
      </w:r>
    </w:p>
    <w:p w14:paraId="422729AA" w14:textId="77777777" w:rsidR="004F59ED" w:rsidRPr="004F59ED" w:rsidRDefault="004F59ED" w:rsidP="004F59ED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competitividade; </w:t>
      </w:r>
    </w:p>
    <w:p w14:paraId="73762962" w14:textId="77777777" w:rsidR="004F59ED" w:rsidRPr="004F59ED" w:rsidRDefault="004F59ED" w:rsidP="004F59ED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estrutura de produção; </w:t>
      </w:r>
    </w:p>
    <w:p w14:paraId="171E9183" w14:textId="77777777" w:rsidR="004F59ED" w:rsidRPr="004F59ED" w:rsidRDefault="004F59ED" w:rsidP="004F59ED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cadeia de fornecedores; </w:t>
      </w:r>
    </w:p>
    <w:p w14:paraId="0AC0FA47" w14:textId="77777777" w:rsidR="004F59ED" w:rsidRPr="004F59ED" w:rsidRDefault="004F59ED" w:rsidP="004F59ED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planejamento tributário; </w:t>
      </w:r>
    </w:p>
    <w:p w14:paraId="284E254D" w14:textId="77777777" w:rsidR="004F59ED" w:rsidRPr="004F59ED" w:rsidRDefault="004F59ED" w:rsidP="004F59ED">
      <w:pPr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controles fiscais e contábeis. </w:t>
      </w:r>
    </w:p>
    <w:p w14:paraId="58F9B49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Conclusão:</w:t>
      </w:r>
      <w:r w:rsidRPr="004F59ED">
        <w:rPr>
          <w:rFonts w:ascii="Arial" w:hAnsi="Arial" w:cs="Arial"/>
          <w:sz w:val="24"/>
          <w:szCs w:val="24"/>
        </w:rPr>
        <w:t xml:space="preserve"> o IS utiliza a tributação como instrumento de política pública, procurando induzir determinados comportamentos econômicos e sociais.</w:t>
      </w:r>
    </w:p>
    <w:p w14:paraId="7E91F8D7" w14:textId="7E8C36C6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41045734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6. Indelegabilidade da competência tributária</w:t>
      </w:r>
    </w:p>
    <w:p w14:paraId="5E922C8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</w:t>
      </w:r>
      <w:r w:rsidRPr="004F59ED">
        <w:rPr>
          <w:rFonts w:ascii="Arial" w:hAnsi="Arial" w:cs="Arial"/>
          <w:b/>
          <w:bCs/>
          <w:sz w:val="24"/>
          <w:szCs w:val="24"/>
        </w:rPr>
        <w:t>competência tributária</w:t>
      </w:r>
      <w:r w:rsidRPr="004F59ED">
        <w:rPr>
          <w:rFonts w:ascii="Arial" w:hAnsi="Arial" w:cs="Arial"/>
          <w:sz w:val="24"/>
          <w:szCs w:val="24"/>
        </w:rPr>
        <w:t xml:space="preserve"> corresponde ao poder conferido pela Constituição às pessoas políticas para instituir tributos.</w:t>
      </w:r>
    </w:p>
    <w:p w14:paraId="28C3DBB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art. 7º do CTN</w:t>
      </w:r>
      <w:r w:rsidRPr="004F59ED">
        <w:rPr>
          <w:rFonts w:ascii="Arial" w:hAnsi="Arial" w:cs="Arial"/>
          <w:sz w:val="24"/>
          <w:szCs w:val="24"/>
        </w:rPr>
        <w:t xml:space="preserve"> estabelece que a competência tributária é </w:t>
      </w:r>
      <w:r w:rsidRPr="004F59ED">
        <w:rPr>
          <w:rFonts w:ascii="Arial" w:hAnsi="Arial" w:cs="Arial"/>
          <w:b/>
          <w:bCs/>
          <w:sz w:val="24"/>
          <w:szCs w:val="24"/>
        </w:rPr>
        <w:t>indelegável</w:t>
      </w:r>
      <w:r w:rsidRPr="004F59ED">
        <w:rPr>
          <w:rFonts w:ascii="Arial" w:hAnsi="Arial" w:cs="Arial"/>
          <w:sz w:val="24"/>
          <w:szCs w:val="24"/>
        </w:rPr>
        <w:t>. Portanto, União, Estados, Distrito Federal e Municípios não podem transferir a outro ente federativo o poder constitucional que lhes foi atribuído para instituir determinado tributo.</w:t>
      </w:r>
    </w:p>
    <w:p w14:paraId="7CD0C1AF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Isso não significa, entretanto, que todas as funções relacionadas à administração tributária sejam indelegáveis.</w:t>
      </w:r>
    </w:p>
    <w:p w14:paraId="6FA35E5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próprio art. 7º do CTN admite que sejam atribuídas a outra pessoa jurídica de direito público as funções de </w:t>
      </w:r>
      <w:r w:rsidRPr="004F59ED">
        <w:rPr>
          <w:rFonts w:ascii="Arial" w:hAnsi="Arial" w:cs="Arial"/>
          <w:b/>
          <w:bCs/>
          <w:sz w:val="24"/>
          <w:szCs w:val="24"/>
        </w:rPr>
        <w:t>arrecadar ou fiscalizar tributos</w:t>
      </w:r>
      <w:r w:rsidRPr="004F59ED">
        <w:rPr>
          <w:rFonts w:ascii="Arial" w:hAnsi="Arial" w:cs="Arial"/>
          <w:sz w:val="24"/>
          <w:szCs w:val="24"/>
        </w:rPr>
        <w:t>, além da execução de atos administrativos ou funções de cobrança.</w:t>
      </w:r>
    </w:p>
    <w:p w14:paraId="696734E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É fundamental distinguir:</w:t>
      </w:r>
    </w:p>
    <w:p w14:paraId="3765612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Competência tributária ≠ capacidade tributária ativa.</w:t>
      </w:r>
    </w:p>
    <w:p w14:paraId="474CE9D6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A competência é constitucional e indelegável. A capacidade para arrecadar, fiscalizar e executar determinadas atividades administrativas pode ser atribuída nos termos da lei.</w:t>
      </w:r>
    </w:p>
    <w:p w14:paraId="6CB39A52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Para as empresas, essa distinção é importante porque a alteração do órgão responsável pela fiscalização ou arrecadação não significa necessariamente transferência da competência constitucional para instituir o tributo.</w:t>
      </w:r>
    </w:p>
    <w:p w14:paraId="413424FD" w14:textId="11EE5053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087BD8A7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7. Cobrança simultânea de taxa e imposto pelo mesmo fato</w:t>
      </w:r>
    </w:p>
    <w:p w14:paraId="123330E0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situação exige análise do </w:t>
      </w:r>
      <w:r w:rsidRPr="004F59ED">
        <w:rPr>
          <w:rFonts w:ascii="Arial" w:hAnsi="Arial" w:cs="Arial"/>
          <w:b/>
          <w:bCs/>
          <w:sz w:val="24"/>
          <w:szCs w:val="24"/>
        </w:rPr>
        <w:t>fato gerador efetivamente utilizado</w:t>
      </w:r>
      <w:r w:rsidRPr="004F59ED">
        <w:rPr>
          <w:rFonts w:ascii="Arial" w:hAnsi="Arial" w:cs="Arial"/>
          <w:sz w:val="24"/>
          <w:szCs w:val="24"/>
        </w:rPr>
        <w:t xml:space="preserve"> para cada tributo.</w:t>
      </w:r>
    </w:p>
    <w:p w14:paraId="50E6A950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imposto, conforme o </w:t>
      </w:r>
      <w:r w:rsidRPr="004F59ED">
        <w:rPr>
          <w:rFonts w:ascii="Arial" w:hAnsi="Arial" w:cs="Arial"/>
          <w:b/>
          <w:bCs/>
          <w:sz w:val="24"/>
          <w:szCs w:val="24"/>
        </w:rPr>
        <w:t>art. 16 do CTN</w:t>
      </w:r>
      <w:r w:rsidRPr="004F59ED">
        <w:rPr>
          <w:rFonts w:ascii="Arial" w:hAnsi="Arial" w:cs="Arial"/>
          <w:sz w:val="24"/>
          <w:szCs w:val="24"/>
        </w:rPr>
        <w:t>, tem como fato gerador uma situação independente de atividade estatal específica relativa ao contribuinte.</w:t>
      </w:r>
    </w:p>
    <w:p w14:paraId="3BFA34C9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lastRenderedPageBreak/>
        <w:t xml:space="preserve">A taxa, por outro lado, pressupõe uma atuação estatal específica, relacionada ao exercício do poder de polícia ou à prestação de serviço público específico e divisível, conforme o </w:t>
      </w:r>
      <w:r w:rsidRPr="004F59ED">
        <w:rPr>
          <w:rFonts w:ascii="Arial" w:hAnsi="Arial" w:cs="Arial"/>
          <w:b/>
          <w:bCs/>
          <w:sz w:val="24"/>
          <w:szCs w:val="24"/>
        </w:rPr>
        <w:t>art. 145, II, da Constituição Federal</w:t>
      </w:r>
      <w:r w:rsidRPr="004F59ED">
        <w:rPr>
          <w:rFonts w:ascii="Arial" w:hAnsi="Arial" w:cs="Arial"/>
          <w:sz w:val="24"/>
          <w:szCs w:val="24"/>
        </w:rPr>
        <w:t xml:space="preserve"> e o art. 77 do CTN.</w:t>
      </w:r>
    </w:p>
    <w:p w14:paraId="08C7CAE1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Assim, </w:t>
      </w:r>
      <w:r w:rsidRPr="004F59ED">
        <w:rPr>
          <w:rFonts w:ascii="Arial" w:hAnsi="Arial" w:cs="Arial"/>
          <w:b/>
          <w:bCs/>
          <w:sz w:val="24"/>
          <w:szCs w:val="24"/>
        </w:rPr>
        <w:t>não é automaticamente ilegal a existência simultânea de imposto e taxa</w:t>
      </w:r>
      <w:r w:rsidRPr="004F59ED">
        <w:rPr>
          <w:rFonts w:ascii="Arial" w:hAnsi="Arial" w:cs="Arial"/>
          <w:sz w:val="24"/>
          <w:szCs w:val="24"/>
        </w:rPr>
        <w:t xml:space="preserve"> relacionados a uma mesma atividade econômica. O que não se admite é que a taxa tenha como fato gerador uma situação que seja própria de imposto ou que seja criada simplesmente para duplicar a tributação sem a correspondente atuação estatal.</w:t>
      </w:r>
    </w:p>
    <w:p w14:paraId="73BED4A1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Por exemplo, uma empresa pode pagar determinado imposto em razão de sua atividade econômica e, simultaneamente, uma taxa de fiscalização decorrente do poder de polícia exercido pelo Município.</w:t>
      </w:r>
    </w:p>
    <w:p w14:paraId="7AF01BD9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ponto decisivo é verificar se existem </w:t>
      </w:r>
      <w:r w:rsidRPr="004F59ED">
        <w:rPr>
          <w:rFonts w:ascii="Arial" w:hAnsi="Arial" w:cs="Arial"/>
          <w:b/>
          <w:bCs/>
          <w:sz w:val="24"/>
          <w:szCs w:val="24"/>
        </w:rPr>
        <w:t>fatos geradores juridicamente distintos</w:t>
      </w:r>
      <w:r w:rsidRPr="004F59ED">
        <w:rPr>
          <w:rFonts w:ascii="Arial" w:hAnsi="Arial" w:cs="Arial"/>
          <w:sz w:val="24"/>
          <w:szCs w:val="24"/>
        </w:rPr>
        <w:t>.</w:t>
      </w:r>
    </w:p>
    <w:p w14:paraId="68693B4E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Conclusão:</w:t>
      </w:r>
      <w:r w:rsidRPr="004F59ED">
        <w:rPr>
          <w:rFonts w:ascii="Arial" w:hAnsi="Arial" w:cs="Arial"/>
          <w:sz w:val="24"/>
          <w:szCs w:val="24"/>
        </w:rPr>
        <w:t xml:space="preserve"> a cobrança simultânea não é, por si só, inconstitucional. Será ilegal se a taxa não corresponder a serviço específico e divisível ou ao exercício regular do poder de polícia, ou se houver identidade indevida de fatos geradores.</w:t>
      </w:r>
    </w:p>
    <w:p w14:paraId="281519B2" w14:textId="29E6AFAD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4C878CE4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8. Estados e Municípios antes e após a Reforma Tributária</w:t>
      </w:r>
    </w:p>
    <w:p w14:paraId="0734EEC2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Antes da Reforma Tributária, Estados e Municípios possuíam competências tributárias próprias e distintas.</w:t>
      </w:r>
    </w:p>
    <w:p w14:paraId="14B8397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Os </w:t>
      </w:r>
      <w:r w:rsidRPr="004F59ED">
        <w:rPr>
          <w:rFonts w:ascii="Arial" w:hAnsi="Arial" w:cs="Arial"/>
          <w:b/>
          <w:bCs/>
          <w:sz w:val="24"/>
          <w:szCs w:val="24"/>
        </w:rPr>
        <w:t>Estados</w:t>
      </w:r>
      <w:r w:rsidRPr="004F59ED">
        <w:rPr>
          <w:rFonts w:ascii="Arial" w:hAnsi="Arial" w:cs="Arial"/>
          <w:sz w:val="24"/>
          <w:szCs w:val="24"/>
        </w:rPr>
        <w:t xml:space="preserve"> eram competentes, entre outros tributos, para instituir o </w:t>
      </w:r>
      <w:r w:rsidRPr="004F59ED">
        <w:rPr>
          <w:rFonts w:ascii="Arial" w:hAnsi="Arial" w:cs="Arial"/>
          <w:b/>
          <w:bCs/>
          <w:sz w:val="24"/>
          <w:szCs w:val="24"/>
        </w:rPr>
        <w:t>ICMS</w:t>
      </w:r>
      <w:r w:rsidRPr="004F59ED">
        <w:rPr>
          <w:rFonts w:ascii="Arial" w:hAnsi="Arial" w:cs="Arial"/>
          <w:sz w:val="24"/>
          <w:szCs w:val="24"/>
        </w:rPr>
        <w:t xml:space="preserve">, o </w:t>
      </w:r>
      <w:r w:rsidRPr="004F59ED">
        <w:rPr>
          <w:rFonts w:ascii="Arial" w:hAnsi="Arial" w:cs="Arial"/>
          <w:b/>
          <w:bCs/>
          <w:sz w:val="24"/>
          <w:szCs w:val="24"/>
        </w:rPr>
        <w:t>IPVA</w:t>
      </w:r>
      <w:r w:rsidRPr="004F59ED">
        <w:rPr>
          <w:rFonts w:ascii="Arial" w:hAnsi="Arial" w:cs="Arial"/>
          <w:sz w:val="24"/>
          <w:szCs w:val="24"/>
        </w:rPr>
        <w:t xml:space="preserve"> e o </w:t>
      </w:r>
      <w:r w:rsidRPr="004F59ED">
        <w:rPr>
          <w:rFonts w:ascii="Arial" w:hAnsi="Arial" w:cs="Arial"/>
          <w:b/>
          <w:bCs/>
          <w:sz w:val="24"/>
          <w:szCs w:val="24"/>
        </w:rPr>
        <w:t>ITCMD</w:t>
      </w:r>
      <w:r w:rsidRPr="004F59ED">
        <w:rPr>
          <w:rFonts w:ascii="Arial" w:hAnsi="Arial" w:cs="Arial"/>
          <w:sz w:val="24"/>
          <w:szCs w:val="24"/>
        </w:rPr>
        <w:t xml:space="preserve">, enquanto os </w:t>
      </w:r>
      <w:r w:rsidRPr="004F59ED">
        <w:rPr>
          <w:rFonts w:ascii="Arial" w:hAnsi="Arial" w:cs="Arial"/>
          <w:b/>
          <w:bCs/>
          <w:sz w:val="24"/>
          <w:szCs w:val="24"/>
        </w:rPr>
        <w:t>Municípios</w:t>
      </w:r>
      <w:r w:rsidRPr="004F59ED">
        <w:rPr>
          <w:rFonts w:ascii="Arial" w:hAnsi="Arial" w:cs="Arial"/>
          <w:sz w:val="24"/>
          <w:szCs w:val="24"/>
        </w:rPr>
        <w:t xml:space="preserve"> possuíam competência para instituir o </w:t>
      </w:r>
      <w:r w:rsidRPr="004F59ED">
        <w:rPr>
          <w:rFonts w:ascii="Arial" w:hAnsi="Arial" w:cs="Arial"/>
          <w:b/>
          <w:bCs/>
          <w:sz w:val="24"/>
          <w:szCs w:val="24"/>
        </w:rPr>
        <w:t>ISS</w:t>
      </w:r>
      <w:r w:rsidRPr="004F59ED">
        <w:rPr>
          <w:rFonts w:ascii="Arial" w:hAnsi="Arial" w:cs="Arial"/>
          <w:sz w:val="24"/>
          <w:szCs w:val="24"/>
        </w:rPr>
        <w:t xml:space="preserve">, o </w:t>
      </w:r>
      <w:r w:rsidRPr="004F59ED">
        <w:rPr>
          <w:rFonts w:ascii="Arial" w:hAnsi="Arial" w:cs="Arial"/>
          <w:b/>
          <w:bCs/>
          <w:sz w:val="24"/>
          <w:szCs w:val="24"/>
        </w:rPr>
        <w:t>IPTU</w:t>
      </w:r>
      <w:r w:rsidRPr="004F59ED">
        <w:rPr>
          <w:rFonts w:ascii="Arial" w:hAnsi="Arial" w:cs="Arial"/>
          <w:sz w:val="24"/>
          <w:szCs w:val="24"/>
        </w:rPr>
        <w:t xml:space="preserve"> e o </w:t>
      </w:r>
      <w:r w:rsidRPr="004F59ED">
        <w:rPr>
          <w:rFonts w:ascii="Arial" w:hAnsi="Arial" w:cs="Arial"/>
          <w:b/>
          <w:bCs/>
          <w:sz w:val="24"/>
          <w:szCs w:val="24"/>
        </w:rPr>
        <w:t>ITBI</w:t>
      </w:r>
      <w:r w:rsidRPr="004F59ED">
        <w:rPr>
          <w:rFonts w:ascii="Arial" w:hAnsi="Arial" w:cs="Arial"/>
          <w:sz w:val="24"/>
          <w:szCs w:val="24"/>
        </w:rPr>
        <w:t>.</w:t>
      </w:r>
    </w:p>
    <w:p w14:paraId="7A81F594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Com a EC nº 132/2023, houve uma alteração estrutural importante na tributação sobre o consumo.</w:t>
      </w:r>
    </w:p>
    <w:p w14:paraId="66B71D0F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ICMS</w:t>
      </w:r>
      <w:r w:rsidRPr="004F59ED">
        <w:rPr>
          <w:rFonts w:ascii="Arial" w:hAnsi="Arial" w:cs="Arial"/>
          <w:sz w:val="24"/>
          <w:szCs w:val="24"/>
        </w:rPr>
        <w:t xml:space="preserve">, estadual, e o </w:t>
      </w:r>
      <w:r w:rsidRPr="004F59ED">
        <w:rPr>
          <w:rFonts w:ascii="Arial" w:hAnsi="Arial" w:cs="Arial"/>
          <w:b/>
          <w:bCs/>
          <w:sz w:val="24"/>
          <w:szCs w:val="24"/>
        </w:rPr>
        <w:t>ISS</w:t>
      </w:r>
      <w:r w:rsidRPr="004F59ED">
        <w:rPr>
          <w:rFonts w:ascii="Arial" w:hAnsi="Arial" w:cs="Arial"/>
          <w:sz w:val="24"/>
          <w:szCs w:val="24"/>
        </w:rPr>
        <w:t xml:space="preserve">, municipal, serão progressivamente substituídos pelo </w:t>
      </w:r>
      <w:r w:rsidRPr="004F59ED">
        <w:rPr>
          <w:rFonts w:ascii="Arial" w:hAnsi="Arial" w:cs="Arial"/>
          <w:b/>
          <w:bCs/>
          <w:sz w:val="24"/>
          <w:szCs w:val="24"/>
        </w:rPr>
        <w:t>IBS</w:t>
      </w:r>
      <w:r w:rsidRPr="004F59ED">
        <w:rPr>
          <w:rFonts w:ascii="Arial" w:hAnsi="Arial" w:cs="Arial"/>
          <w:sz w:val="24"/>
          <w:szCs w:val="24"/>
        </w:rPr>
        <w:t>, previsto no art. 156-A da Constituição Federal.</w:t>
      </w:r>
    </w:p>
    <w:p w14:paraId="19E2B0AD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IBS será administrado em regime de competência compartilhada por </w:t>
      </w:r>
      <w:r w:rsidRPr="004F59ED">
        <w:rPr>
          <w:rFonts w:ascii="Arial" w:hAnsi="Arial" w:cs="Arial"/>
          <w:b/>
          <w:bCs/>
          <w:sz w:val="24"/>
          <w:szCs w:val="24"/>
        </w:rPr>
        <w:t>Estados, Distrito Federal e Municípios</w:t>
      </w:r>
      <w:r w:rsidRPr="004F59ED">
        <w:rPr>
          <w:rFonts w:ascii="Arial" w:hAnsi="Arial" w:cs="Arial"/>
          <w:sz w:val="24"/>
          <w:szCs w:val="24"/>
        </w:rPr>
        <w:t>, representando uma mudança significativa em relação ao modelo anterior.</w:t>
      </w:r>
    </w:p>
    <w:p w14:paraId="28A0A9BA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Reforma também instituiu um período de </w:t>
      </w:r>
      <w:r w:rsidRPr="004F59ED">
        <w:rPr>
          <w:rFonts w:ascii="Arial" w:hAnsi="Arial" w:cs="Arial"/>
          <w:b/>
          <w:bCs/>
          <w:sz w:val="24"/>
          <w:szCs w:val="24"/>
        </w:rPr>
        <w:t>transição</w:t>
      </w:r>
      <w:r w:rsidRPr="004F59ED">
        <w:rPr>
          <w:rFonts w:ascii="Arial" w:hAnsi="Arial" w:cs="Arial"/>
          <w:sz w:val="24"/>
          <w:szCs w:val="24"/>
        </w:rPr>
        <w:t>, durante o qual o sistema antigo e o novo coexistirão gradualmente.</w:t>
      </w:r>
    </w:p>
    <w:p w14:paraId="369C05F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Para empresas, essa transição exige atenção especial porque, durante determinado período, será necessário lidar simultaneamente com obrigações relacionadas ao modelo anterior e ao novo modelo.</w:t>
      </w:r>
    </w:p>
    <w:p w14:paraId="1A9E5DFB" w14:textId="648A54DE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488819F5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9. Competência tributária do Distrito Federal</w:t>
      </w:r>
    </w:p>
    <w:p w14:paraId="2858B98D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O Distrito Federal possui uma posição peculiar no federalismo fiscal brasileiro.</w:t>
      </w:r>
    </w:p>
    <w:p w14:paraId="6ED31F20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</w:t>
      </w:r>
      <w:r w:rsidRPr="004F59ED">
        <w:rPr>
          <w:rFonts w:ascii="Arial" w:hAnsi="Arial" w:cs="Arial"/>
          <w:b/>
          <w:bCs/>
          <w:sz w:val="24"/>
          <w:szCs w:val="24"/>
        </w:rPr>
        <w:t>art. 147 da Constituição Federal</w:t>
      </w:r>
      <w:r w:rsidRPr="004F59ED">
        <w:rPr>
          <w:rFonts w:ascii="Arial" w:hAnsi="Arial" w:cs="Arial"/>
          <w:sz w:val="24"/>
          <w:szCs w:val="24"/>
        </w:rPr>
        <w:t xml:space="preserve"> estabelece que compete ao Distrito Federal instituir os impostos atribuídos aos </w:t>
      </w:r>
      <w:r w:rsidRPr="004F59ED">
        <w:rPr>
          <w:rFonts w:ascii="Arial" w:hAnsi="Arial" w:cs="Arial"/>
          <w:b/>
          <w:bCs/>
          <w:sz w:val="24"/>
          <w:szCs w:val="24"/>
        </w:rPr>
        <w:t>Estados e aos Municípios</w:t>
      </w:r>
      <w:r w:rsidRPr="004F59ED">
        <w:rPr>
          <w:rFonts w:ascii="Arial" w:hAnsi="Arial" w:cs="Arial"/>
          <w:sz w:val="24"/>
          <w:szCs w:val="24"/>
        </w:rPr>
        <w:t>.</w:t>
      </w:r>
    </w:p>
    <w:p w14:paraId="345E04B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lastRenderedPageBreak/>
        <w:t xml:space="preserve">Por essa razão, costuma-se afirmar que o Distrito Federal possui </w:t>
      </w:r>
      <w:r w:rsidRPr="004F59ED">
        <w:rPr>
          <w:rFonts w:ascii="Arial" w:hAnsi="Arial" w:cs="Arial"/>
          <w:b/>
          <w:bCs/>
          <w:sz w:val="24"/>
          <w:szCs w:val="24"/>
        </w:rPr>
        <w:t>competência tributária cumulativa</w:t>
      </w:r>
      <w:r w:rsidRPr="004F59ED">
        <w:rPr>
          <w:rFonts w:ascii="Arial" w:hAnsi="Arial" w:cs="Arial"/>
          <w:sz w:val="24"/>
          <w:szCs w:val="24"/>
        </w:rPr>
        <w:t>, reunindo competências estaduais e municipais.</w:t>
      </w:r>
    </w:p>
    <w:p w14:paraId="15E79E26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Isso produz consequências relevantes para as empresas nele estabelecidas, especialmente porque, historicamente, o Distrito Federal pode instituir tributos que, em outros locais, são de competência de diferentes entes.</w:t>
      </w:r>
    </w:p>
    <w:p w14:paraId="71AADE16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Reforma Tributária, entretanto, altera significativamente esse cenário no âmbito da tributação sobre o consumo, especialmente com a criação do </w:t>
      </w:r>
      <w:r w:rsidRPr="004F59ED">
        <w:rPr>
          <w:rFonts w:ascii="Arial" w:hAnsi="Arial" w:cs="Arial"/>
          <w:b/>
          <w:bCs/>
          <w:sz w:val="24"/>
          <w:szCs w:val="24"/>
        </w:rPr>
        <w:t>IBS</w:t>
      </w:r>
      <w:r w:rsidRPr="004F59ED">
        <w:rPr>
          <w:rFonts w:ascii="Arial" w:hAnsi="Arial" w:cs="Arial"/>
          <w:sz w:val="24"/>
          <w:szCs w:val="24"/>
        </w:rPr>
        <w:t>, cuja competência alcança Estados, Distrito Federal e Municípios.</w:t>
      </w:r>
    </w:p>
    <w:p w14:paraId="4316DA5E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Assim, o Distrito Federal continuará apresentando peculiaridade constitucional, mas o modelo de tributação do consumo será progressivamente reorganizado pela Reforma.</w:t>
      </w:r>
    </w:p>
    <w:p w14:paraId="5EC42309" w14:textId="6DD020E1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</w:p>
    <w:p w14:paraId="2580F6C6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10. Transição ICMS/ISS para IBS/CBS e compliance empresarial</w:t>
      </w:r>
    </w:p>
    <w:p w14:paraId="5F87CFF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A transição do sistema anterior para o novo modelo constitui um dos maiores desafios tributários das empresas brasileiras.</w:t>
      </w:r>
    </w:p>
    <w:p w14:paraId="7842F061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sistema anterior caracteriza-se pela existência de diversos tributos incidentes sobre o consumo, especialmente </w:t>
      </w:r>
      <w:r w:rsidRPr="004F59ED">
        <w:rPr>
          <w:rFonts w:ascii="Arial" w:hAnsi="Arial" w:cs="Arial"/>
          <w:b/>
          <w:bCs/>
          <w:sz w:val="24"/>
          <w:szCs w:val="24"/>
        </w:rPr>
        <w:t xml:space="preserve">ICMS, ISS, PIS e </w:t>
      </w:r>
      <w:proofErr w:type="spellStart"/>
      <w:r w:rsidRPr="004F59ED">
        <w:rPr>
          <w:rFonts w:ascii="Arial" w:hAnsi="Arial" w:cs="Arial"/>
          <w:b/>
          <w:bCs/>
          <w:sz w:val="24"/>
          <w:szCs w:val="24"/>
        </w:rPr>
        <w:t>Cofins</w:t>
      </w:r>
      <w:proofErr w:type="spellEnd"/>
      <w:r w:rsidRPr="004F59ED">
        <w:rPr>
          <w:rFonts w:ascii="Arial" w:hAnsi="Arial" w:cs="Arial"/>
          <w:sz w:val="24"/>
          <w:szCs w:val="24"/>
        </w:rPr>
        <w:t>, cada qual com legislação, regras, obrigações acessórias e critérios próprios.</w:t>
      </w:r>
    </w:p>
    <w:p w14:paraId="3B0CA06A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 Reforma Tributária </w:t>
      </w:r>
      <w:proofErr w:type="gramStart"/>
      <w:r w:rsidRPr="004F59ED">
        <w:rPr>
          <w:rFonts w:ascii="Arial" w:hAnsi="Arial" w:cs="Arial"/>
          <w:sz w:val="24"/>
          <w:szCs w:val="24"/>
        </w:rPr>
        <w:t>cria uma nova</w:t>
      </w:r>
      <w:proofErr w:type="gramEnd"/>
      <w:r w:rsidRPr="004F59ED">
        <w:rPr>
          <w:rFonts w:ascii="Arial" w:hAnsi="Arial" w:cs="Arial"/>
          <w:sz w:val="24"/>
          <w:szCs w:val="24"/>
        </w:rPr>
        <w:t xml:space="preserve"> estrutura baseada principalmente no </w:t>
      </w:r>
      <w:r w:rsidRPr="004F59ED">
        <w:rPr>
          <w:rFonts w:ascii="Arial" w:hAnsi="Arial" w:cs="Arial"/>
          <w:b/>
          <w:bCs/>
          <w:sz w:val="24"/>
          <w:szCs w:val="24"/>
        </w:rPr>
        <w:t>IBS e na CBS</w:t>
      </w:r>
      <w:r w:rsidRPr="004F59ED">
        <w:rPr>
          <w:rFonts w:ascii="Arial" w:hAnsi="Arial" w:cs="Arial"/>
          <w:sz w:val="24"/>
          <w:szCs w:val="24"/>
        </w:rPr>
        <w:t>, além do Imposto Seletivo.</w:t>
      </w:r>
    </w:p>
    <w:p w14:paraId="6E72E0FD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 desafio empresarial não está apenas no cálculo do novo tributo. Será necessário adaptar toda a estrutura de </w:t>
      </w:r>
      <w:r w:rsidRPr="004F59ED">
        <w:rPr>
          <w:rFonts w:ascii="Arial" w:hAnsi="Arial" w:cs="Arial"/>
          <w:b/>
          <w:bCs/>
          <w:sz w:val="24"/>
          <w:szCs w:val="24"/>
        </w:rPr>
        <w:t>compliance tributário</w:t>
      </w:r>
      <w:r w:rsidRPr="004F59ED">
        <w:rPr>
          <w:rFonts w:ascii="Arial" w:hAnsi="Arial" w:cs="Arial"/>
          <w:sz w:val="24"/>
          <w:szCs w:val="24"/>
        </w:rPr>
        <w:t>.</w:t>
      </w:r>
    </w:p>
    <w:p w14:paraId="482E4BF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>Entre as principais providências estão:</w:t>
      </w:r>
    </w:p>
    <w:p w14:paraId="3325E8FA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revisão dos cadastros fiscais; </w:t>
      </w:r>
    </w:p>
    <w:p w14:paraId="50677DE9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atualização dos sistemas ERP; </w:t>
      </w:r>
    </w:p>
    <w:p w14:paraId="2D562B3D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parametrização das novas regras tributárias; </w:t>
      </w:r>
    </w:p>
    <w:p w14:paraId="5DC58399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capacitação das equipes fiscal, contábil e financeira; </w:t>
      </w:r>
    </w:p>
    <w:p w14:paraId="7D566683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revisão de contratos com clientes e fornecedores; </w:t>
      </w:r>
    </w:p>
    <w:p w14:paraId="76A798F0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análise dos impactos na formação de preços; </w:t>
      </w:r>
    </w:p>
    <w:p w14:paraId="16A31804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revisão dos créditos tributários; </w:t>
      </w:r>
    </w:p>
    <w:p w14:paraId="09DD096E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adequação das obrigações acessórias; </w:t>
      </w:r>
    </w:p>
    <w:p w14:paraId="7FBF685F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revisão dos controles internos; </w:t>
      </w:r>
    </w:p>
    <w:p w14:paraId="6D13F32E" w14:textId="77777777" w:rsidR="004F59ED" w:rsidRPr="004F59ED" w:rsidRDefault="004F59ED" w:rsidP="004F59ED">
      <w:pPr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acompanhamento permanente da regulamentação. </w:t>
      </w:r>
    </w:p>
    <w:p w14:paraId="3165107E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t xml:space="preserve">Outro aspecto importante será a gestão do período de </w:t>
      </w:r>
      <w:r w:rsidRPr="004F59ED">
        <w:rPr>
          <w:rFonts w:ascii="Arial" w:hAnsi="Arial" w:cs="Arial"/>
          <w:b/>
          <w:bCs/>
          <w:sz w:val="24"/>
          <w:szCs w:val="24"/>
        </w:rPr>
        <w:t>convivência entre o sistema antigo e o novo</w:t>
      </w:r>
      <w:r w:rsidRPr="004F59ED">
        <w:rPr>
          <w:rFonts w:ascii="Arial" w:hAnsi="Arial" w:cs="Arial"/>
          <w:sz w:val="24"/>
          <w:szCs w:val="24"/>
        </w:rPr>
        <w:t>. As empresas precisarão assegurar que seus sistemas sejam capazes de calcular corretamente os tributos conforme cada etapa do cronograma de transição.</w:t>
      </w:r>
    </w:p>
    <w:p w14:paraId="0D367117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sz w:val="24"/>
          <w:szCs w:val="24"/>
        </w:rPr>
        <w:lastRenderedPageBreak/>
        <w:t xml:space="preserve">Sob a perspectiva de </w:t>
      </w:r>
      <w:r w:rsidRPr="004F59ED">
        <w:rPr>
          <w:rFonts w:ascii="Arial" w:hAnsi="Arial" w:cs="Arial"/>
          <w:b/>
          <w:bCs/>
          <w:sz w:val="24"/>
          <w:szCs w:val="24"/>
        </w:rPr>
        <w:t>governança tributária</w:t>
      </w:r>
      <w:r w:rsidRPr="004F59ED">
        <w:rPr>
          <w:rFonts w:ascii="Arial" w:hAnsi="Arial" w:cs="Arial"/>
          <w:sz w:val="24"/>
          <w:szCs w:val="24"/>
        </w:rPr>
        <w:t>, a Reforma exige integração entre os departamentos fiscal, contábil, financeiro, jurídico, compras, vendas, tecnologia da informação e controladoria.</w:t>
      </w:r>
    </w:p>
    <w:p w14:paraId="7C9D457C" w14:textId="77777777" w:rsidR="004F59ED" w:rsidRP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Conclusão:</w:t>
      </w:r>
      <w:r w:rsidRPr="004F59ED">
        <w:rPr>
          <w:rFonts w:ascii="Arial" w:hAnsi="Arial" w:cs="Arial"/>
          <w:sz w:val="24"/>
          <w:szCs w:val="24"/>
        </w:rPr>
        <w:t xml:space="preserve"> o sucesso na transição dependerá menos de uma simples substituição de tributos e mais da capacidade das empresas de transformar seus processos, sistemas e controles internos. O compliance tributário deverá assumir papel estratégico na prevenção de autuações, na correta apropriação de créditos e na preservação das margens e da competitividade empresarial.</w:t>
      </w:r>
    </w:p>
    <w:p w14:paraId="387FA6D9" w14:textId="77777777" w:rsidR="004F59ED" w:rsidRPr="004F59ED" w:rsidRDefault="004F59ED" w:rsidP="004F59ED">
      <w:pPr>
        <w:rPr>
          <w:rFonts w:ascii="Arial" w:hAnsi="Arial" w:cs="Arial"/>
          <w:b/>
          <w:bCs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Síntese dos fundamentos jurídicos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4"/>
        <w:gridCol w:w="4758"/>
      </w:tblGrid>
      <w:tr w:rsidR="004F59ED" w:rsidRPr="004F59ED" w14:paraId="39F6665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430B5F7" w14:textId="77777777" w:rsidR="004F59ED" w:rsidRPr="004F59ED" w:rsidRDefault="004F59ED" w:rsidP="004F59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59ED">
              <w:rPr>
                <w:rFonts w:ascii="Arial" w:hAnsi="Arial" w:cs="Arial"/>
                <w:b/>
                <w:bCs/>
                <w:sz w:val="24"/>
                <w:szCs w:val="24"/>
              </w:rPr>
              <w:t>Tema</w:t>
            </w:r>
          </w:p>
        </w:tc>
        <w:tc>
          <w:tcPr>
            <w:tcW w:w="0" w:type="auto"/>
            <w:vAlign w:val="center"/>
            <w:hideMark/>
          </w:tcPr>
          <w:p w14:paraId="2BC1841F" w14:textId="77777777" w:rsidR="004F59ED" w:rsidRPr="004F59ED" w:rsidRDefault="004F59ED" w:rsidP="004F59E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59ED">
              <w:rPr>
                <w:rFonts w:ascii="Arial" w:hAnsi="Arial" w:cs="Arial"/>
                <w:b/>
                <w:bCs/>
                <w:sz w:val="24"/>
                <w:szCs w:val="24"/>
              </w:rPr>
              <w:t>Principal fundamento</w:t>
            </w:r>
          </w:p>
        </w:tc>
      </w:tr>
      <w:tr w:rsidR="004F59ED" w:rsidRPr="004F59ED" w14:paraId="67AA88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1D41A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Taxas</w:t>
            </w:r>
          </w:p>
        </w:tc>
        <w:tc>
          <w:tcPr>
            <w:tcW w:w="0" w:type="auto"/>
            <w:vAlign w:val="center"/>
            <w:hideMark/>
          </w:tcPr>
          <w:p w14:paraId="72F2CCDF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  <w:lang w:val="en-US"/>
              </w:rPr>
              <w:t xml:space="preserve">CF, art. 145, II; CTN, arts. </w:t>
            </w:r>
            <w:r w:rsidRPr="004F59ED">
              <w:rPr>
                <w:rFonts w:ascii="Arial" w:hAnsi="Arial" w:cs="Arial"/>
                <w:sz w:val="24"/>
                <w:szCs w:val="24"/>
              </w:rPr>
              <w:t>77 a 80</w:t>
            </w:r>
          </w:p>
        </w:tc>
      </w:tr>
      <w:tr w:rsidR="004F59ED" w:rsidRPr="004F59ED" w14:paraId="37B09F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48B859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Poder de polícia</w:t>
            </w:r>
          </w:p>
        </w:tc>
        <w:tc>
          <w:tcPr>
            <w:tcW w:w="0" w:type="auto"/>
            <w:vAlign w:val="center"/>
            <w:hideMark/>
          </w:tcPr>
          <w:p w14:paraId="44D4EDB9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CTN, art. 78</w:t>
            </w:r>
          </w:p>
        </w:tc>
      </w:tr>
      <w:tr w:rsidR="004F59ED" w:rsidRPr="004F59ED" w14:paraId="2040B55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DC7005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Impostos</w:t>
            </w:r>
          </w:p>
        </w:tc>
        <w:tc>
          <w:tcPr>
            <w:tcW w:w="0" w:type="auto"/>
            <w:vAlign w:val="center"/>
            <w:hideMark/>
          </w:tcPr>
          <w:p w14:paraId="5CC22CE2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CTN, art. 16</w:t>
            </w:r>
          </w:p>
        </w:tc>
      </w:tr>
      <w:tr w:rsidR="004F59ED" w:rsidRPr="004F59ED" w14:paraId="5E51FB2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7A93C3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Contribuição de melhoria</w:t>
            </w:r>
          </w:p>
        </w:tc>
        <w:tc>
          <w:tcPr>
            <w:tcW w:w="0" w:type="auto"/>
            <w:vAlign w:val="center"/>
            <w:hideMark/>
          </w:tcPr>
          <w:p w14:paraId="12839E06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  <w:lang w:val="en-US"/>
              </w:rPr>
              <w:t xml:space="preserve">CF, art. 145, III; CTN, arts. </w:t>
            </w:r>
            <w:r w:rsidRPr="004F59ED">
              <w:rPr>
                <w:rFonts w:ascii="Arial" w:hAnsi="Arial" w:cs="Arial"/>
                <w:sz w:val="24"/>
                <w:szCs w:val="24"/>
              </w:rPr>
              <w:t>81 e 82</w:t>
            </w:r>
          </w:p>
        </w:tc>
      </w:tr>
      <w:tr w:rsidR="004F59ED" w:rsidRPr="004F59ED" w14:paraId="0F17AD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D2977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Indelegabilidade</w:t>
            </w:r>
          </w:p>
        </w:tc>
        <w:tc>
          <w:tcPr>
            <w:tcW w:w="0" w:type="auto"/>
            <w:vAlign w:val="center"/>
            <w:hideMark/>
          </w:tcPr>
          <w:p w14:paraId="1BCC7E58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CTN, art. 7º</w:t>
            </w:r>
          </w:p>
        </w:tc>
      </w:tr>
      <w:tr w:rsidR="004F59ED" w:rsidRPr="004F59ED" w14:paraId="5AF876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7024B8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IBS</w:t>
            </w:r>
          </w:p>
        </w:tc>
        <w:tc>
          <w:tcPr>
            <w:tcW w:w="0" w:type="auto"/>
            <w:vAlign w:val="center"/>
            <w:hideMark/>
          </w:tcPr>
          <w:p w14:paraId="5B3D5526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CF, art. 156-A, incluído pela EC 132/2023</w:t>
            </w:r>
          </w:p>
        </w:tc>
      </w:tr>
      <w:tr w:rsidR="004F59ED" w:rsidRPr="004F59ED" w14:paraId="26A7FD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E276CE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Imposto Seletivo</w:t>
            </w:r>
          </w:p>
        </w:tc>
        <w:tc>
          <w:tcPr>
            <w:tcW w:w="0" w:type="auto"/>
            <w:vAlign w:val="center"/>
            <w:hideMark/>
          </w:tcPr>
          <w:p w14:paraId="72F47135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CF, art. 153, VIII, incluído pela EC 132/2023</w:t>
            </w:r>
          </w:p>
        </w:tc>
      </w:tr>
      <w:tr w:rsidR="004F59ED" w:rsidRPr="004F59ED" w14:paraId="312B1C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8C287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Competência do DF</w:t>
            </w:r>
          </w:p>
        </w:tc>
        <w:tc>
          <w:tcPr>
            <w:tcW w:w="0" w:type="auto"/>
            <w:vAlign w:val="center"/>
            <w:hideMark/>
          </w:tcPr>
          <w:p w14:paraId="063B6F57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CF, art. 147</w:t>
            </w:r>
          </w:p>
        </w:tc>
      </w:tr>
      <w:tr w:rsidR="004F59ED" w:rsidRPr="004F59ED" w14:paraId="442EB4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67259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Reforma Tributária</w:t>
            </w:r>
          </w:p>
        </w:tc>
        <w:tc>
          <w:tcPr>
            <w:tcW w:w="0" w:type="auto"/>
            <w:vAlign w:val="center"/>
            <w:hideMark/>
          </w:tcPr>
          <w:p w14:paraId="6CBDB0A6" w14:textId="77777777" w:rsidR="004F59ED" w:rsidRPr="004F59ED" w:rsidRDefault="004F59ED" w:rsidP="004F59ED">
            <w:pPr>
              <w:rPr>
                <w:rFonts w:ascii="Arial" w:hAnsi="Arial" w:cs="Arial"/>
                <w:sz w:val="24"/>
                <w:szCs w:val="24"/>
              </w:rPr>
            </w:pPr>
            <w:r w:rsidRPr="004F59ED">
              <w:rPr>
                <w:rFonts w:ascii="Arial" w:hAnsi="Arial" w:cs="Arial"/>
                <w:sz w:val="24"/>
                <w:szCs w:val="24"/>
              </w:rPr>
              <w:t>EC nº 132/2023</w:t>
            </w:r>
          </w:p>
        </w:tc>
      </w:tr>
    </w:tbl>
    <w:p w14:paraId="4EDD2CC5" w14:textId="77777777" w:rsidR="004F59ED" w:rsidRDefault="004F59ED" w:rsidP="004F59ED">
      <w:pPr>
        <w:rPr>
          <w:rFonts w:ascii="Arial" w:hAnsi="Arial" w:cs="Arial"/>
          <w:sz w:val="24"/>
          <w:szCs w:val="24"/>
        </w:rPr>
      </w:pPr>
      <w:r w:rsidRPr="004F59ED">
        <w:rPr>
          <w:rFonts w:ascii="Arial" w:hAnsi="Arial" w:cs="Arial"/>
          <w:b/>
          <w:bCs/>
          <w:sz w:val="24"/>
          <w:szCs w:val="24"/>
        </w:rPr>
        <w:t>Observação:</w:t>
      </w:r>
      <w:r w:rsidRPr="004F59ED">
        <w:rPr>
          <w:rFonts w:ascii="Arial" w:hAnsi="Arial" w:cs="Arial"/>
          <w:sz w:val="24"/>
          <w:szCs w:val="24"/>
        </w:rPr>
        <w:t xml:space="preserve"> como essas questões tratam da Reforma Tributária, é importante distinguir </w:t>
      </w:r>
      <w:r w:rsidRPr="004F59ED">
        <w:rPr>
          <w:rFonts w:ascii="Arial" w:hAnsi="Arial" w:cs="Arial"/>
          <w:b/>
          <w:bCs/>
          <w:sz w:val="24"/>
          <w:szCs w:val="24"/>
        </w:rPr>
        <w:t>norma constitucional de transição</w:t>
      </w:r>
      <w:r w:rsidRPr="004F59ED">
        <w:rPr>
          <w:rFonts w:ascii="Arial" w:hAnsi="Arial" w:cs="Arial"/>
          <w:sz w:val="24"/>
          <w:szCs w:val="24"/>
        </w:rPr>
        <w:t xml:space="preserve"> da regulamentação infraconstitucional. Para material acadêmico ou de concurso em 2026, a análise deve considerar não apenas a EC nº 132/2023, mas também a legislação complementar que regulamenta o IBS, a CBS e o período de transição.</w:t>
      </w:r>
    </w:p>
    <w:p w14:paraId="43ADE973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4900D0C1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4992A603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4A58B5A2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63ED067C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11F602C5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77822763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18EFF764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18A47F3E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418EEFD6" w14:textId="77777777" w:rsidR="00386601" w:rsidRDefault="00386601" w:rsidP="004F59ED">
      <w:pPr>
        <w:rPr>
          <w:rFonts w:ascii="Arial" w:hAnsi="Arial" w:cs="Arial"/>
          <w:sz w:val="24"/>
          <w:szCs w:val="24"/>
        </w:rPr>
      </w:pPr>
    </w:p>
    <w:p w14:paraId="75C3EEA5" w14:textId="0B7C40CC" w:rsidR="00386601" w:rsidRPr="000D6E93" w:rsidRDefault="00F747FD" w:rsidP="000D6E9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D6E93">
        <w:rPr>
          <w:rFonts w:ascii="Arial" w:hAnsi="Arial" w:cs="Arial"/>
          <w:b/>
          <w:bCs/>
          <w:sz w:val="28"/>
          <w:szCs w:val="28"/>
        </w:rPr>
        <w:lastRenderedPageBreak/>
        <w:t>Estudo de Caso</w:t>
      </w:r>
    </w:p>
    <w:p w14:paraId="67C7A791" w14:textId="77777777" w:rsidR="00F747FD" w:rsidRDefault="00F747FD" w:rsidP="004F59ED">
      <w:pPr>
        <w:rPr>
          <w:rFonts w:ascii="Arial" w:hAnsi="Arial" w:cs="Arial"/>
          <w:sz w:val="24"/>
          <w:szCs w:val="24"/>
        </w:rPr>
      </w:pPr>
    </w:p>
    <w:p w14:paraId="700AC17D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Atenção preliminar: como o caso fixa </w:t>
      </w:r>
      <w:r w:rsidRPr="00F747FD">
        <w:rPr>
          <w:rFonts w:ascii="Arial" w:hAnsi="Arial" w:cs="Arial"/>
          <w:b/>
          <w:bCs/>
          <w:sz w:val="24"/>
          <w:szCs w:val="24"/>
        </w:rPr>
        <w:t>alíquotas hipotéticas para fins didáticos</w:t>
      </w:r>
      <w:r w:rsidRPr="00F747FD">
        <w:rPr>
          <w:rFonts w:ascii="Arial" w:hAnsi="Arial" w:cs="Arial"/>
          <w:sz w:val="24"/>
          <w:szCs w:val="24"/>
        </w:rPr>
        <w:t xml:space="preserve">, os cálculos abaixo seguem exatamente essas premissas. Contudo, juridicamente, </w:t>
      </w:r>
      <w:r w:rsidRPr="00F747FD">
        <w:rPr>
          <w:rFonts w:ascii="Arial" w:hAnsi="Arial" w:cs="Arial"/>
          <w:b/>
          <w:bCs/>
          <w:sz w:val="24"/>
          <w:szCs w:val="24"/>
        </w:rPr>
        <w:t>2027 não comportará IBS de 25%</w:t>
      </w:r>
      <w:r w:rsidRPr="00F747FD">
        <w:rPr>
          <w:rFonts w:ascii="Arial" w:hAnsi="Arial" w:cs="Arial"/>
          <w:sz w:val="24"/>
          <w:szCs w:val="24"/>
        </w:rPr>
        <w:t xml:space="preserve">: pela LC nº 214/2025, em 2027 e 2028 o IBS terá alíquota estadual de 0,05% e municipal de 0,05%, enquanto a CBS seguirá a sistemática de alíquota de referência prevista na lei. Portanto, os valores de 25% e 10% devem ser tratados exclusivamente como </w:t>
      </w:r>
      <w:r w:rsidRPr="00F747FD">
        <w:rPr>
          <w:rFonts w:ascii="Arial" w:hAnsi="Arial" w:cs="Arial"/>
          <w:b/>
          <w:bCs/>
          <w:sz w:val="24"/>
          <w:szCs w:val="24"/>
        </w:rPr>
        <w:t>hipóteses pedagógicas</w:t>
      </w:r>
      <w:r w:rsidRPr="00F747FD">
        <w:rPr>
          <w:rFonts w:ascii="Arial" w:hAnsi="Arial" w:cs="Arial"/>
          <w:sz w:val="24"/>
          <w:szCs w:val="24"/>
        </w:rPr>
        <w:t xml:space="preserve">, e não como as alíquotas legais efetivas de 2027. </w:t>
      </w:r>
    </w:p>
    <w:p w14:paraId="67ADC9B3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1. Cálculo – IBS e CBS</w:t>
      </w:r>
    </w:p>
    <w:p w14:paraId="111FCA72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Dados</w:t>
      </w:r>
    </w:p>
    <w:p w14:paraId="0BA638E8" w14:textId="77777777" w:rsidR="00F747FD" w:rsidRPr="00F747FD" w:rsidRDefault="00F747FD" w:rsidP="00F747FD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Receita de vendas: </w:t>
      </w:r>
      <w:r w:rsidRPr="00F747FD">
        <w:rPr>
          <w:rFonts w:ascii="Arial" w:hAnsi="Arial" w:cs="Arial"/>
          <w:b/>
          <w:bCs/>
          <w:sz w:val="24"/>
          <w:szCs w:val="24"/>
        </w:rPr>
        <w:t>R$ 1.000.000,00</w:t>
      </w:r>
      <w:r w:rsidRPr="00F747FD">
        <w:rPr>
          <w:rFonts w:ascii="Arial" w:hAnsi="Arial" w:cs="Arial"/>
          <w:sz w:val="24"/>
          <w:szCs w:val="24"/>
        </w:rPr>
        <w:t xml:space="preserve"> </w:t>
      </w:r>
    </w:p>
    <w:p w14:paraId="02E1C652" w14:textId="77777777" w:rsidR="00F747FD" w:rsidRPr="00F747FD" w:rsidRDefault="00F747FD" w:rsidP="00F747FD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Aquisição de insumos: </w:t>
      </w:r>
      <w:r w:rsidRPr="00F747FD">
        <w:rPr>
          <w:rFonts w:ascii="Arial" w:hAnsi="Arial" w:cs="Arial"/>
          <w:b/>
          <w:bCs/>
          <w:sz w:val="24"/>
          <w:szCs w:val="24"/>
        </w:rPr>
        <w:t>R$ 400.000,00</w:t>
      </w:r>
      <w:r w:rsidRPr="00F747FD">
        <w:rPr>
          <w:rFonts w:ascii="Arial" w:hAnsi="Arial" w:cs="Arial"/>
          <w:sz w:val="24"/>
          <w:szCs w:val="24"/>
        </w:rPr>
        <w:t xml:space="preserve"> </w:t>
      </w:r>
    </w:p>
    <w:p w14:paraId="2A81E772" w14:textId="77777777" w:rsidR="00F747FD" w:rsidRPr="00F747FD" w:rsidRDefault="00F747FD" w:rsidP="00F747FD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IBS hipotético: </w:t>
      </w:r>
      <w:r w:rsidRPr="00F747FD">
        <w:rPr>
          <w:rFonts w:ascii="Arial" w:hAnsi="Arial" w:cs="Arial"/>
          <w:b/>
          <w:bCs/>
          <w:sz w:val="24"/>
          <w:szCs w:val="24"/>
        </w:rPr>
        <w:t>25%</w:t>
      </w:r>
      <w:r w:rsidRPr="00F747FD">
        <w:rPr>
          <w:rFonts w:ascii="Arial" w:hAnsi="Arial" w:cs="Arial"/>
          <w:sz w:val="24"/>
          <w:szCs w:val="24"/>
        </w:rPr>
        <w:t xml:space="preserve"> </w:t>
      </w:r>
    </w:p>
    <w:p w14:paraId="5498C7F9" w14:textId="77777777" w:rsidR="00F747FD" w:rsidRPr="00F747FD" w:rsidRDefault="00F747FD" w:rsidP="00F747FD">
      <w:pPr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CBS hipotética: </w:t>
      </w:r>
      <w:r w:rsidRPr="00F747FD">
        <w:rPr>
          <w:rFonts w:ascii="Arial" w:hAnsi="Arial" w:cs="Arial"/>
          <w:b/>
          <w:bCs/>
          <w:sz w:val="24"/>
          <w:szCs w:val="24"/>
        </w:rPr>
        <w:t>10%</w:t>
      </w:r>
      <w:r w:rsidRPr="00F747FD">
        <w:rPr>
          <w:rFonts w:ascii="Arial" w:hAnsi="Arial" w:cs="Arial"/>
          <w:sz w:val="24"/>
          <w:szCs w:val="24"/>
        </w:rPr>
        <w:t xml:space="preserve"> </w:t>
      </w:r>
    </w:p>
    <w:p w14:paraId="043C77D9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Considerando o regime não cumulativo e admitindo, para fins do exercício, que </w:t>
      </w:r>
      <w:r w:rsidRPr="00F747FD">
        <w:rPr>
          <w:rFonts w:ascii="Arial" w:hAnsi="Arial" w:cs="Arial"/>
          <w:b/>
          <w:bCs/>
          <w:sz w:val="24"/>
          <w:szCs w:val="24"/>
        </w:rPr>
        <w:t>todo o IBS e CBS incidentes sobre os insumos geram crédito integral</w:t>
      </w:r>
      <w:r w:rsidRPr="00F747FD">
        <w:rPr>
          <w:rFonts w:ascii="Arial" w:hAnsi="Arial" w:cs="Arial"/>
          <w:sz w:val="24"/>
          <w:szCs w:val="24"/>
        </w:rPr>
        <w:t>, temos:</w:t>
      </w:r>
    </w:p>
    <w:p w14:paraId="1ECE71E3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IBS</w:t>
      </w:r>
    </w:p>
    <w:p w14:paraId="70F3D1D3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Débito sobre as vendas:</w:t>
      </w:r>
    </w:p>
    <w:p w14:paraId="54C58CFA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R$ 1.000.000 × 25% = </w:t>
      </w:r>
      <w:r w:rsidRPr="00F747FD">
        <w:rPr>
          <w:rFonts w:ascii="Arial" w:hAnsi="Arial" w:cs="Arial"/>
          <w:b/>
          <w:bCs/>
          <w:sz w:val="24"/>
          <w:szCs w:val="24"/>
        </w:rPr>
        <w:t>R$ 250.000,00</w:t>
      </w:r>
    </w:p>
    <w:p w14:paraId="39BE4071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Crédito sobre os insumos:</w:t>
      </w:r>
    </w:p>
    <w:p w14:paraId="52BAFEEC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R$ 400.000 × 25% = </w:t>
      </w:r>
      <w:r w:rsidRPr="00F747FD">
        <w:rPr>
          <w:rFonts w:ascii="Arial" w:hAnsi="Arial" w:cs="Arial"/>
          <w:b/>
          <w:bCs/>
          <w:sz w:val="24"/>
          <w:szCs w:val="24"/>
        </w:rPr>
        <w:t>R$ 100.000,00</w:t>
      </w:r>
    </w:p>
    <w:p w14:paraId="6AD295B3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IBS a recolher:</w:t>
      </w:r>
    </w:p>
    <w:p w14:paraId="2BC5D86F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R$ 250.000 − R$ 100.000 = </w:t>
      </w:r>
      <w:r w:rsidRPr="00F747FD">
        <w:rPr>
          <w:rFonts w:ascii="Arial" w:hAnsi="Arial" w:cs="Arial"/>
          <w:b/>
          <w:bCs/>
          <w:sz w:val="24"/>
          <w:szCs w:val="24"/>
        </w:rPr>
        <w:t>R$ 150.000,00</w:t>
      </w:r>
    </w:p>
    <w:p w14:paraId="600CDD15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CBS</w:t>
      </w:r>
    </w:p>
    <w:p w14:paraId="688A68C3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Débito sobre as vendas:</w:t>
      </w:r>
    </w:p>
    <w:p w14:paraId="20E1DD87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R$ 1.000.000 × 10% = </w:t>
      </w:r>
      <w:r w:rsidRPr="00F747FD">
        <w:rPr>
          <w:rFonts w:ascii="Arial" w:hAnsi="Arial" w:cs="Arial"/>
          <w:b/>
          <w:bCs/>
          <w:sz w:val="24"/>
          <w:szCs w:val="24"/>
        </w:rPr>
        <w:t>R$ 100.000,00</w:t>
      </w:r>
    </w:p>
    <w:p w14:paraId="13FC51F9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Crédito sobre os insumos:</w:t>
      </w:r>
    </w:p>
    <w:p w14:paraId="51E16D56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R$ 400.000 × 10% = </w:t>
      </w:r>
      <w:r w:rsidRPr="00F747FD">
        <w:rPr>
          <w:rFonts w:ascii="Arial" w:hAnsi="Arial" w:cs="Arial"/>
          <w:b/>
          <w:bCs/>
          <w:sz w:val="24"/>
          <w:szCs w:val="24"/>
        </w:rPr>
        <w:t>R$ 40.000,00</w:t>
      </w:r>
    </w:p>
    <w:p w14:paraId="502C58B4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CBS a recolher:</w:t>
      </w:r>
    </w:p>
    <w:p w14:paraId="5053D0C6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R$ 100.000 − R$ 40.000 = </w:t>
      </w:r>
      <w:r w:rsidRPr="00F747FD">
        <w:rPr>
          <w:rFonts w:ascii="Arial" w:hAnsi="Arial" w:cs="Arial"/>
          <w:b/>
          <w:bCs/>
          <w:sz w:val="24"/>
          <w:szCs w:val="24"/>
        </w:rPr>
        <w:t>R$ 60.000,00</w:t>
      </w:r>
    </w:p>
    <w:p w14:paraId="3A7D1E89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Resultado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1302"/>
        <w:gridCol w:w="1302"/>
        <w:gridCol w:w="1876"/>
      </w:tblGrid>
      <w:tr w:rsidR="00F747FD" w:rsidRPr="00F747FD" w14:paraId="2355303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09491B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Tributo</w:t>
            </w:r>
          </w:p>
        </w:tc>
        <w:tc>
          <w:tcPr>
            <w:tcW w:w="0" w:type="auto"/>
            <w:vAlign w:val="center"/>
            <w:hideMark/>
          </w:tcPr>
          <w:p w14:paraId="18467AC3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Débito</w:t>
            </w:r>
          </w:p>
        </w:tc>
        <w:tc>
          <w:tcPr>
            <w:tcW w:w="0" w:type="auto"/>
            <w:vAlign w:val="center"/>
            <w:hideMark/>
          </w:tcPr>
          <w:p w14:paraId="62E03852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Crédito</w:t>
            </w:r>
          </w:p>
        </w:tc>
        <w:tc>
          <w:tcPr>
            <w:tcW w:w="0" w:type="auto"/>
            <w:vAlign w:val="center"/>
            <w:hideMark/>
          </w:tcPr>
          <w:p w14:paraId="4EDD8571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Valor a recolher</w:t>
            </w:r>
          </w:p>
        </w:tc>
      </w:tr>
      <w:tr w:rsidR="00F747FD" w:rsidRPr="00F747FD" w14:paraId="562A3F3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27AAF7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IBS</w:t>
            </w:r>
          </w:p>
        </w:tc>
        <w:tc>
          <w:tcPr>
            <w:tcW w:w="0" w:type="auto"/>
            <w:vAlign w:val="center"/>
            <w:hideMark/>
          </w:tcPr>
          <w:p w14:paraId="0AD67850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R$ 250.000</w:t>
            </w:r>
          </w:p>
        </w:tc>
        <w:tc>
          <w:tcPr>
            <w:tcW w:w="0" w:type="auto"/>
            <w:vAlign w:val="center"/>
            <w:hideMark/>
          </w:tcPr>
          <w:p w14:paraId="60D2397A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R$ 100.000</w:t>
            </w:r>
          </w:p>
        </w:tc>
        <w:tc>
          <w:tcPr>
            <w:tcW w:w="0" w:type="auto"/>
            <w:vAlign w:val="center"/>
            <w:hideMark/>
          </w:tcPr>
          <w:p w14:paraId="7BF3E1CC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R$ 150.000</w:t>
            </w:r>
          </w:p>
        </w:tc>
      </w:tr>
      <w:tr w:rsidR="00F747FD" w:rsidRPr="00F747FD" w14:paraId="1F43F1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77D8A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CBS</w:t>
            </w:r>
          </w:p>
        </w:tc>
        <w:tc>
          <w:tcPr>
            <w:tcW w:w="0" w:type="auto"/>
            <w:vAlign w:val="center"/>
            <w:hideMark/>
          </w:tcPr>
          <w:p w14:paraId="5927F431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R$ 100.000</w:t>
            </w:r>
          </w:p>
        </w:tc>
        <w:tc>
          <w:tcPr>
            <w:tcW w:w="0" w:type="auto"/>
            <w:vAlign w:val="center"/>
            <w:hideMark/>
          </w:tcPr>
          <w:p w14:paraId="6CCFEC91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R$ 40.000</w:t>
            </w:r>
          </w:p>
        </w:tc>
        <w:tc>
          <w:tcPr>
            <w:tcW w:w="0" w:type="auto"/>
            <w:vAlign w:val="center"/>
            <w:hideMark/>
          </w:tcPr>
          <w:p w14:paraId="7FB35EAC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R$ 60.000</w:t>
            </w:r>
          </w:p>
        </w:tc>
      </w:tr>
      <w:tr w:rsidR="00F747FD" w:rsidRPr="00F747FD" w14:paraId="3F47D9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865EE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0" w:type="auto"/>
            <w:vAlign w:val="center"/>
            <w:hideMark/>
          </w:tcPr>
          <w:p w14:paraId="67BB045F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R$ 350.000</w:t>
            </w:r>
          </w:p>
        </w:tc>
        <w:tc>
          <w:tcPr>
            <w:tcW w:w="0" w:type="auto"/>
            <w:vAlign w:val="center"/>
            <w:hideMark/>
          </w:tcPr>
          <w:p w14:paraId="0CA39119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R$ 140.000</w:t>
            </w:r>
          </w:p>
        </w:tc>
        <w:tc>
          <w:tcPr>
            <w:tcW w:w="0" w:type="auto"/>
            <w:vAlign w:val="center"/>
            <w:hideMark/>
          </w:tcPr>
          <w:p w14:paraId="7A0224B9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R$ 210.000</w:t>
            </w:r>
          </w:p>
        </w:tc>
      </w:tr>
    </w:tbl>
    <w:p w14:paraId="427771AF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lógica está alinhada à estrutura constitucional de IBS e CBS e ao modelo de não cumulatividade estabelecido pela Reforma Tributária, embora a efetiva apropriação de créditos dependa das regras legais aplicáveis à operação. A LC nº 214/2025 regulamenta o IBS e a CBS. </w:t>
      </w:r>
    </w:p>
    <w:p w14:paraId="7B510F40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Resposta: R$ 150.000,00 de IBS e R$ 60.000,00 de CBS, totalizando R$ 210.000,00.</w:t>
      </w:r>
    </w:p>
    <w:p w14:paraId="6FC311CB" w14:textId="79437A30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</w:p>
    <w:p w14:paraId="298E8937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2. Cálculo – Imposto Seletivo</w:t>
      </w:r>
    </w:p>
    <w:p w14:paraId="5C32CF2E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As vendas de energéticos correspondem a:</w:t>
      </w:r>
    </w:p>
    <w:p w14:paraId="24430D80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R$ 1.000.000 × 40% = R$ 400.000,00</w:t>
      </w:r>
    </w:p>
    <w:p w14:paraId="3B69AFA8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Alíquota hipotética do IS:</w:t>
      </w:r>
    </w:p>
    <w:p w14:paraId="608496CC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15%</w:t>
      </w:r>
    </w:p>
    <w:p w14:paraId="5999F6FC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Portanto:</w:t>
      </w:r>
    </w:p>
    <w:p w14:paraId="02A50A73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R$ 400.000 × 15% = R$ 60.000,00</w:t>
      </w:r>
    </w:p>
    <w:p w14:paraId="108E9CA5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Resultado</w:t>
      </w:r>
    </w:p>
    <w:p w14:paraId="4A1C28A1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Imposto Seletivo = R$ 60.000,00</w:t>
      </w:r>
    </w:p>
    <w:p w14:paraId="354F8C4B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O IS é um tributo de competência da União e possui finalidade extrafiscal. A LC nº 214/2025 prevê incidência sobre determinados bens considerados prejudiciais à saúde ou ao meio ambiente, incluindo </w:t>
      </w:r>
      <w:r w:rsidRPr="00F747FD">
        <w:rPr>
          <w:rFonts w:ascii="Arial" w:hAnsi="Arial" w:cs="Arial"/>
          <w:b/>
          <w:bCs/>
          <w:sz w:val="24"/>
          <w:szCs w:val="24"/>
        </w:rPr>
        <w:t>bebidas açucaradas</w:t>
      </w:r>
      <w:r w:rsidRPr="00F747FD">
        <w:rPr>
          <w:rFonts w:ascii="Arial" w:hAnsi="Arial" w:cs="Arial"/>
          <w:sz w:val="24"/>
          <w:szCs w:val="24"/>
        </w:rPr>
        <w:t xml:space="preserve">. Portanto, há uma ressalva técnica importante: o simples fato de o produto ser chamado de “energético” não basta, por si só, para concluir que está sujeito ao IS; é necessário verificar seu enquadramento legal/NCM e as características previstas na legislação. </w:t>
      </w:r>
    </w:p>
    <w:p w14:paraId="47C5F0FD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Para o exercício, entretanto, como o enunciado determina expressamente que os energéticos estão sujeitos ao IS de 15%, o valor didático é R$ 60.000,00.</w:t>
      </w:r>
    </w:p>
    <w:p w14:paraId="0FBAE84A" w14:textId="470A82A9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</w:p>
    <w:p w14:paraId="106E1236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3. Constitucionalidade da taxa de fiscalização sanitária</w:t>
      </w:r>
    </w:p>
    <w:p w14:paraId="69BD655A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cobrança da taxa municipal de fiscalização sanitária pode ser </w:t>
      </w:r>
      <w:r w:rsidRPr="00F747FD">
        <w:rPr>
          <w:rFonts w:ascii="Arial" w:hAnsi="Arial" w:cs="Arial"/>
          <w:b/>
          <w:bCs/>
          <w:sz w:val="24"/>
          <w:szCs w:val="24"/>
        </w:rPr>
        <w:t>constitucional</w:t>
      </w:r>
      <w:r w:rsidRPr="00F747FD">
        <w:rPr>
          <w:rFonts w:ascii="Arial" w:hAnsi="Arial" w:cs="Arial"/>
          <w:sz w:val="24"/>
          <w:szCs w:val="24"/>
        </w:rPr>
        <w:t>, desde que preenchidos os requisitos constitucionais e legais.</w:t>
      </w:r>
    </w:p>
    <w:p w14:paraId="21E60F54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O fundamento está no </w:t>
      </w:r>
      <w:r w:rsidRPr="00F747FD">
        <w:rPr>
          <w:rFonts w:ascii="Arial" w:hAnsi="Arial" w:cs="Arial"/>
          <w:b/>
          <w:bCs/>
          <w:sz w:val="24"/>
          <w:szCs w:val="24"/>
        </w:rPr>
        <w:t>art. 145, II, da Constituição Federal</w:t>
      </w:r>
      <w:r w:rsidRPr="00F747FD">
        <w:rPr>
          <w:rFonts w:ascii="Arial" w:hAnsi="Arial" w:cs="Arial"/>
          <w:sz w:val="24"/>
          <w:szCs w:val="24"/>
        </w:rPr>
        <w:t>, segundo o qual União, Estados, Distrito Federal e Municípios podem instituir taxas em razão:</w:t>
      </w:r>
    </w:p>
    <w:p w14:paraId="11E6D6FF" w14:textId="77777777" w:rsidR="00F747FD" w:rsidRPr="00F747FD" w:rsidRDefault="00F747FD" w:rsidP="00F747FD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do exercício do </w:t>
      </w:r>
      <w:r w:rsidRPr="00F747FD">
        <w:rPr>
          <w:rFonts w:ascii="Arial" w:hAnsi="Arial" w:cs="Arial"/>
          <w:b/>
          <w:bCs/>
          <w:sz w:val="24"/>
          <w:szCs w:val="24"/>
        </w:rPr>
        <w:t>poder de polícia</w:t>
      </w:r>
      <w:r w:rsidRPr="00F747FD">
        <w:rPr>
          <w:rFonts w:ascii="Arial" w:hAnsi="Arial" w:cs="Arial"/>
          <w:sz w:val="24"/>
          <w:szCs w:val="24"/>
        </w:rPr>
        <w:t xml:space="preserve">; ou </w:t>
      </w:r>
    </w:p>
    <w:p w14:paraId="5FD2A111" w14:textId="77777777" w:rsidR="00F747FD" w:rsidRPr="00F747FD" w:rsidRDefault="00F747FD" w:rsidP="00F747FD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da utilização, efetiva ou potencial, de serviço público </w:t>
      </w:r>
      <w:r w:rsidRPr="00F747FD">
        <w:rPr>
          <w:rFonts w:ascii="Arial" w:hAnsi="Arial" w:cs="Arial"/>
          <w:b/>
          <w:bCs/>
          <w:sz w:val="24"/>
          <w:szCs w:val="24"/>
        </w:rPr>
        <w:t>específico e divisível</w:t>
      </w:r>
      <w:r w:rsidRPr="00F747FD">
        <w:rPr>
          <w:rFonts w:ascii="Arial" w:hAnsi="Arial" w:cs="Arial"/>
          <w:sz w:val="24"/>
          <w:szCs w:val="24"/>
        </w:rPr>
        <w:t xml:space="preserve">. </w:t>
      </w:r>
    </w:p>
    <w:p w14:paraId="2E79FE5D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lastRenderedPageBreak/>
        <w:t xml:space="preserve">O </w:t>
      </w:r>
      <w:r w:rsidRPr="00F747FD">
        <w:rPr>
          <w:rFonts w:ascii="Arial" w:hAnsi="Arial" w:cs="Arial"/>
          <w:b/>
          <w:bCs/>
          <w:sz w:val="24"/>
          <w:szCs w:val="24"/>
        </w:rPr>
        <w:t>art. 77 do CTN</w:t>
      </w:r>
      <w:r w:rsidRPr="00F747FD">
        <w:rPr>
          <w:rFonts w:ascii="Arial" w:hAnsi="Arial" w:cs="Arial"/>
          <w:sz w:val="24"/>
          <w:szCs w:val="24"/>
        </w:rPr>
        <w:t xml:space="preserve"> reproduz essa estrutura.</w:t>
      </w:r>
    </w:p>
    <w:p w14:paraId="192012EC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fiscalização sanitária é típica manifestação do </w:t>
      </w:r>
      <w:r w:rsidRPr="00F747FD">
        <w:rPr>
          <w:rFonts w:ascii="Arial" w:hAnsi="Arial" w:cs="Arial"/>
          <w:b/>
          <w:bCs/>
          <w:sz w:val="24"/>
          <w:szCs w:val="24"/>
        </w:rPr>
        <w:t>poder de polícia administrativa</w:t>
      </w:r>
      <w:r w:rsidRPr="00F747FD">
        <w:rPr>
          <w:rFonts w:ascii="Arial" w:hAnsi="Arial" w:cs="Arial"/>
          <w:sz w:val="24"/>
          <w:szCs w:val="24"/>
        </w:rPr>
        <w:t>, pois o Município exerce atividade de controle e fiscalização destinada à proteção da saúde pública.</w:t>
      </w:r>
    </w:p>
    <w:p w14:paraId="7E82B91A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Portanto, a taxa de R$ 15.000,00 poderá ser legítima se:</w:t>
      </w:r>
    </w:p>
    <w:p w14:paraId="780424AF" w14:textId="77777777" w:rsidR="00F747FD" w:rsidRPr="00F747FD" w:rsidRDefault="00F747FD" w:rsidP="00F747FD">
      <w:pPr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houver </w:t>
      </w:r>
      <w:r w:rsidRPr="00F747FD">
        <w:rPr>
          <w:rFonts w:ascii="Arial" w:hAnsi="Arial" w:cs="Arial"/>
          <w:b/>
          <w:bCs/>
          <w:sz w:val="24"/>
          <w:szCs w:val="24"/>
        </w:rPr>
        <w:t>lei municipal</w:t>
      </w:r>
      <w:r w:rsidRPr="00F747FD">
        <w:rPr>
          <w:rFonts w:ascii="Arial" w:hAnsi="Arial" w:cs="Arial"/>
          <w:sz w:val="24"/>
          <w:szCs w:val="24"/>
        </w:rPr>
        <w:t xml:space="preserve"> instituindo a taxa; </w:t>
      </w:r>
    </w:p>
    <w:p w14:paraId="520052B9" w14:textId="77777777" w:rsidR="00F747FD" w:rsidRPr="00F747FD" w:rsidRDefault="00F747FD" w:rsidP="00F747FD">
      <w:pPr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o Município possuir competência para exercer a fiscalização; </w:t>
      </w:r>
    </w:p>
    <w:p w14:paraId="71725480" w14:textId="77777777" w:rsidR="00F747FD" w:rsidRPr="00F747FD" w:rsidRDefault="00F747FD" w:rsidP="00F747FD">
      <w:pPr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houver efetivo exercício regular do poder de polícia; </w:t>
      </w:r>
    </w:p>
    <w:p w14:paraId="4A20B5C6" w14:textId="77777777" w:rsidR="00F747FD" w:rsidRPr="00F747FD" w:rsidRDefault="00F747FD" w:rsidP="00F747FD">
      <w:pPr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cobrança observar os requisitos legais; </w:t>
      </w:r>
    </w:p>
    <w:p w14:paraId="63EA4FC2" w14:textId="77777777" w:rsidR="00F747FD" w:rsidRPr="00F747FD" w:rsidRDefault="00F747FD" w:rsidP="00F747FD">
      <w:pPr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o valor não seja utilizado como mero instrumento de arrecadação desvinculado da atividade estatal que fundamenta a taxa. </w:t>
      </w:r>
    </w:p>
    <w:p w14:paraId="2F02B5B8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Conclusão:</w:t>
      </w:r>
      <w:r w:rsidRPr="00F747FD">
        <w:rPr>
          <w:rFonts w:ascii="Arial" w:hAnsi="Arial" w:cs="Arial"/>
          <w:sz w:val="24"/>
          <w:szCs w:val="24"/>
        </w:rPr>
        <w:t xml:space="preserve"> a taxa é juridicamente possível e, em princípio, constitucional, desde que a fiscalização sanitária efetivamente corresponda ao exercício regular do poder de polícia e sejam observados os requisitos legais.</w:t>
      </w:r>
    </w:p>
    <w:p w14:paraId="1602316F" w14:textId="44608CE8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</w:p>
    <w:p w14:paraId="6D2F1DC7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4. Contribuição de melhoria de R$ 80.000,00</w:t>
      </w:r>
    </w:p>
    <w:p w14:paraId="43964CCF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O caso apresenta:</w:t>
      </w:r>
    </w:p>
    <w:p w14:paraId="780D823A" w14:textId="77777777" w:rsidR="00F747FD" w:rsidRPr="00F747FD" w:rsidRDefault="00F747FD" w:rsidP="00F747FD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valorização imobiliária: </w:t>
      </w:r>
      <w:r w:rsidRPr="00F747FD">
        <w:rPr>
          <w:rFonts w:ascii="Arial" w:hAnsi="Arial" w:cs="Arial"/>
          <w:b/>
          <w:bCs/>
          <w:sz w:val="24"/>
          <w:szCs w:val="24"/>
        </w:rPr>
        <w:t>R$ 200.000,00</w:t>
      </w:r>
      <w:r w:rsidRPr="00F747FD">
        <w:rPr>
          <w:rFonts w:ascii="Arial" w:hAnsi="Arial" w:cs="Arial"/>
          <w:sz w:val="24"/>
          <w:szCs w:val="24"/>
        </w:rPr>
        <w:t xml:space="preserve"> </w:t>
      </w:r>
    </w:p>
    <w:p w14:paraId="3949F3E4" w14:textId="77777777" w:rsidR="00F747FD" w:rsidRPr="00F747FD" w:rsidRDefault="00F747FD" w:rsidP="00F747FD">
      <w:pPr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contribuição de melhoria: </w:t>
      </w:r>
      <w:r w:rsidRPr="00F747FD">
        <w:rPr>
          <w:rFonts w:ascii="Arial" w:hAnsi="Arial" w:cs="Arial"/>
          <w:b/>
          <w:bCs/>
          <w:sz w:val="24"/>
          <w:szCs w:val="24"/>
        </w:rPr>
        <w:t>R$ 80.000,00</w:t>
      </w:r>
      <w:r w:rsidRPr="00F747FD">
        <w:rPr>
          <w:rFonts w:ascii="Arial" w:hAnsi="Arial" w:cs="Arial"/>
          <w:sz w:val="24"/>
          <w:szCs w:val="24"/>
        </w:rPr>
        <w:t xml:space="preserve"> </w:t>
      </w:r>
    </w:p>
    <w:p w14:paraId="651E3F61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contribuição de melhoria possui fundamento no </w:t>
      </w:r>
      <w:r w:rsidRPr="00F747FD">
        <w:rPr>
          <w:rFonts w:ascii="Arial" w:hAnsi="Arial" w:cs="Arial"/>
          <w:b/>
          <w:bCs/>
          <w:sz w:val="24"/>
          <w:szCs w:val="24"/>
        </w:rPr>
        <w:t>art. 145, III, da Constituição Federal</w:t>
      </w:r>
      <w:r w:rsidRPr="00F747FD">
        <w:rPr>
          <w:rFonts w:ascii="Arial" w:hAnsi="Arial" w:cs="Arial"/>
          <w:sz w:val="24"/>
          <w:szCs w:val="24"/>
        </w:rPr>
        <w:t xml:space="preserve"> e no </w:t>
      </w:r>
      <w:r w:rsidRPr="00F747FD">
        <w:rPr>
          <w:rFonts w:ascii="Arial" w:hAnsi="Arial" w:cs="Arial"/>
          <w:b/>
          <w:bCs/>
          <w:sz w:val="24"/>
          <w:szCs w:val="24"/>
        </w:rPr>
        <w:t>art. 81 do CTN</w:t>
      </w:r>
      <w:r w:rsidRPr="00F747FD">
        <w:rPr>
          <w:rFonts w:ascii="Arial" w:hAnsi="Arial" w:cs="Arial"/>
          <w:sz w:val="24"/>
          <w:szCs w:val="24"/>
        </w:rPr>
        <w:t>.</w:t>
      </w:r>
    </w:p>
    <w:p w14:paraId="54724600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Há dois limites fundamentais:</w:t>
      </w:r>
    </w:p>
    <w:p w14:paraId="3EF45F11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Limite global</w:t>
      </w:r>
    </w:p>
    <w:p w14:paraId="3FEFECB0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O total arrecadado a título de contribuição de melhoria não pode superar o </w:t>
      </w:r>
      <w:r w:rsidRPr="00F747FD">
        <w:rPr>
          <w:rFonts w:ascii="Arial" w:hAnsi="Arial" w:cs="Arial"/>
          <w:b/>
          <w:bCs/>
          <w:sz w:val="24"/>
          <w:szCs w:val="24"/>
        </w:rPr>
        <w:t>custo da obra pública</w:t>
      </w:r>
      <w:r w:rsidRPr="00F747FD">
        <w:rPr>
          <w:rFonts w:ascii="Arial" w:hAnsi="Arial" w:cs="Arial"/>
          <w:sz w:val="24"/>
          <w:szCs w:val="24"/>
        </w:rPr>
        <w:t>.</w:t>
      </w:r>
    </w:p>
    <w:p w14:paraId="7257E9C9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Limite individual</w:t>
      </w:r>
    </w:p>
    <w:p w14:paraId="31B0B9A8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contribuição cobrada de cada proprietário não pode superar o </w:t>
      </w:r>
      <w:r w:rsidRPr="00F747FD">
        <w:rPr>
          <w:rFonts w:ascii="Arial" w:hAnsi="Arial" w:cs="Arial"/>
          <w:b/>
          <w:bCs/>
          <w:sz w:val="24"/>
          <w:szCs w:val="24"/>
        </w:rPr>
        <w:t>acréscimo de valor que a obra produziu no respectivo imóvel</w:t>
      </w:r>
      <w:r w:rsidRPr="00F747FD">
        <w:rPr>
          <w:rFonts w:ascii="Arial" w:hAnsi="Arial" w:cs="Arial"/>
          <w:sz w:val="24"/>
          <w:szCs w:val="24"/>
        </w:rPr>
        <w:t>.</w:t>
      </w:r>
    </w:p>
    <w:p w14:paraId="63CF42C3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No caso, a contribuição de R$ 80.000,00 representa:</w:t>
      </w:r>
    </w:p>
    <w:p w14:paraId="21411FCA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R$ 80.000 ÷ R$ 200.000 = 40%</w:t>
      </w:r>
    </w:p>
    <w:p w14:paraId="5A6D3FE7" w14:textId="77777777" w:rsidR="00F747FD" w:rsidRPr="00F747FD" w:rsidRDefault="00F747FD" w:rsidP="00ED099B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Portanto, </w:t>
      </w:r>
      <w:r w:rsidRPr="00F747FD">
        <w:rPr>
          <w:rFonts w:ascii="Arial" w:hAnsi="Arial" w:cs="Arial"/>
          <w:b/>
          <w:bCs/>
          <w:sz w:val="24"/>
          <w:szCs w:val="24"/>
        </w:rPr>
        <w:t>considerando apenas os dados fornecidos</w:t>
      </w:r>
      <w:r w:rsidRPr="00F747FD">
        <w:rPr>
          <w:rFonts w:ascii="Arial" w:hAnsi="Arial" w:cs="Arial"/>
          <w:sz w:val="24"/>
          <w:szCs w:val="24"/>
        </w:rPr>
        <w:t>, o limite individual aparentemente não foi ultrapassado, pois:</w:t>
      </w:r>
    </w:p>
    <w:p w14:paraId="2C39719D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R$ 80.000 &lt; R$ 200.000</w:t>
      </w:r>
    </w:p>
    <w:p w14:paraId="32C84EB5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Entretanto, não é possível afirmar definitivamente que a cobrança é constitucional apenas com essas informações.</w:t>
      </w:r>
    </w:p>
    <w:p w14:paraId="498031D9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lastRenderedPageBreak/>
        <w:t>É necessário saber também:</w:t>
      </w:r>
    </w:p>
    <w:p w14:paraId="56051F3B" w14:textId="77777777" w:rsidR="00F747FD" w:rsidRPr="00F747FD" w:rsidRDefault="00F747FD" w:rsidP="00F747FD">
      <w:pPr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qual foi o </w:t>
      </w:r>
      <w:r w:rsidRPr="00F747FD">
        <w:rPr>
          <w:rFonts w:ascii="Arial" w:hAnsi="Arial" w:cs="Arial"/>
          <w:b/>
          <w:bCs/>
          <w:sz w:val="24"/>
          <w:szCs w:val="24"/>
        </w:rPr>
        <w:t>custo total da obra</w:t>
      </w:r>
      <w:r w:rsidRPr="00F747FD">
        <w:rPr>
          <w:rFonts w:ascii="Arial" w:hAnsi="Arial" w:cs="Arial"/>
          <w:sz w:val="24"/>
          <w:szCs w:val="24"/>
        </w:rPr>
        <w:t xml:space="preserve">; </w:t>
      </w:r>
    </w:p>
    <w:p w14:paraId="1D8C0CA0" w14:textId="77777777" w:rsidR="00F747FD" w:rsidRPr="00F747FD" w:rsidRDefault="00F747FD" w:rsidP="00F747FD">
      <w:pPr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qual foi a valorização individual do imóvel; </w:t>
      </w:r>
    </w:p>
    <w:p w14:paraId="20CD2913" w14:textId="77777777" w:rsidR="00F747FD" w:rsidRPr="00F747FD" w:rsidRDefault="00F747FD" w:rsidP="00F747FD">
      <w:pPr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se houve efetiva relação causal entre a obra e a valorização; </w:t>
      </w:r>
    </w:p>
    <w:p w14:paraId="79AD744C" w14:textId="77777777" w:rsidR="00F747FD" w:rsidRPr="00F747FD" w:rsidRDefault="00F747FD" w:rsidP="00F747FD">
      <w:pPr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se a contribuição foi instituída por lei; </w:t>
      </w:r>
    </w:p>
    <w:p w14:paraId="0E5382DF" w14:textId="77777777" w:rsidR="00F747FD" w:rsidRPr="00F747FD" w:rsidRDefault="00F747FD" w:rsidP="00F747FD">
      <w:pPr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se foram observados os requisitos legais para lançamento e cobrança. </w:t>
      </w:r>
    </w:p>
    <w:p w14:paraId="34D050D9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Assim, se a obra custou, por exemplo, R$ 10 milhões, a arrecadação total de R$ 80 mil poderia estar dentro do limite global. Se custou R$ 50 mil, evidentemente haveria problema.</w:t>
      </w:r>
    </w:p>
    <w:p w14:paraId="36BA5246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Conclusão:</w:t>
      </w:r>
      <w:r w:rsidRPr="00F747FD">
        <w:rPr>
          <w:rFonts w:ascii="Arial" w:hAnsi="Arial" w:cs="Arial"/>
          <w:sz w:val="24"/>
          <w:szCs w:val="24"/>
        </w:rPr>
        <w:t xml:space="preserve"> quanto ao limite individual, os R$ 80.000 estão abaixo da valorização informada de R$ 200.000. Porém, a constitucionalidade definitiva depende também do </w:t>
      </w:r>
      <w:r w:rsidRPr="00F747FD">
        <w:rPr>
          <w:rFonts w:ascii="Arial" w:hAnsi="Arial" w:cs="Arial"/>
          <w:b/>
          <w:bCs/>
          <w:sz w:val="24"/>
          <w:szCs w:val="24"/>
        </w:rPr>
        <w:t>custo total da obra e dos demais requisitos legais</w:t>
      </w:r>
      <w:r w:rsidRPr="00F747FD">
        <w:rPr>
          <w:rFonts w:ascii="Arial" w:hAnsi="Arial" w:cs="Arial"/>
          <w:sz w:val="24"/>
          <w:szCs w:val="24"/>
        </w:rPr>
        <w:t>.</w:t>
      </w:r>
    </w:p>
    <w:p w14:paraId="24F31F2C" w14:textId="5529EC71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</w:p>
    <w:p w14:paraId="1DFFA95D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5. Competência tributária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3296"/>
        <w:gridCol w:w="2964"/>
      </w:tblGrid>
      <w:tr w:rsidR="00F747FD" w:rsidRPr="00F747FD" w14:paraId="55971C8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411081C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Tributo</w:t>
            </w:r>
          </w:p>
        </w:tc>
        <w:tc>
          <w:tcPr>
            <w:tcW w:w="0" w:type="auto"/>
            <w:vAlign w:val="center"/>
            <w:hideMark/>
          </w:tcPr>
          <w:p w14:paraId="4C710445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Ente competente</w:t>
            </w:r>
          </w:p>
        </w:tc>
        <w:tc>
          <w:tcPr>
            <w:tcW w:w="0" w:type="auto"/>
            <w:vAlign w:val="center"/>
            <w:hideMark/>
          </w:tcPr>
          <w:p w14:paraId="26BDACB3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Fundamento</w:t>
            </w:r>
          </w:p>
        </w:tc>
      </w:tr>
      <w:tr w:rsidR="00F747FD" w:rsidRPr="00F747FD" w14:paraId="67432E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D53A9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IBS</w:t>
            </w:r>
          </w:p>
        </w:tc>
        <w:tc>
          <w:tcPr>
            <w:tcW w:w="0" w:type="auto"/>
            <w:vAlign w:val="center"/>
            <w:hideMark/>
          </w:tcPr>
          <w:p w14:paraId="62EF4938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Estados, Distrito Federal e Municípios</w:t>
            </w:r>
          </w:p>
        </w:tc>
        <w:tc>
          <w:tcPr>
            <w:tcW w:w="0" w:type="auto"/>
            <w:vAlign w:val="center"/>
            <w:hideMark/>
          </w:tcPr>
          <w:p w14:paraId="10D8C67C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CF, art. 156-A</w:t>
            </w:r>
          </w:p>
        </w:tc>
      </w:tr>
      <w:tr w:rsidR="00F747FD" w:rsidRPr="00F747FD" w14:paraId="2FE4AB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4AB2F8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CBS</w:t>
            </w:r>
          </w:p>
        </w:tc>
        <w:tc>
          <w:tcPr>
            <w:tcW w:w="0" w:type="auto"/>
            <w:vAlign w:val="center"/>
            <w:hideMark/>
          </w:tcPr>
          <w:p w14:paraId="27C08C71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União</w:t>
            </w:r>
          </w:p>
        </w:tc>
        <w:tc>
          <w:tcPr>
            <w:tcW w:w="0" w:type="auto"/>
            <w:vAlign w:val="center"/>
            <w:hideMark/>
          </w:tcPr>
          <w:p w14:paraId="20D8954F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CF, art. 195, V, e LC nº 214/2025</w:t>
            </w:r>
          </w:p>
        </w:tc>
      </w:tr>
      <w:tr w:rsidR="00F747FD" w:rsidRPr="00F747FD" w14:paraId="02E5AF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904EA1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Imposto Seletivo</w:t>
            </w:r>
          </w:p>
        </w:tc>
        <w:tc>
          <w:tcPr>
            <w:tcW w:w="0" w:type="auto"/>
            <w:vAlign w:val="center"/>
            <w:hideMark/>
          </w:tcPr>
          <w:p w14:paraId="252569E1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União</w:t>
            </w:r>
          </w:p>
        </w:tc>
        <w:tc>
          <w:tcPr>
            <w:tcW w:w="0" w:type="auto"/>
            <w:vAlign w:val="center"/>
            <w:hideMark/>
          </w:tcPr>
          <w:p w14:paraId="275BAC17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CF, art. 153, VIII</w:t>
            </w:r>
          </w:p>
        </w:tc>
      </w:tr>
      <w:tr w:rsidR="00F747FD" w:rsidRPr="00F747FD" w14:paraId="3F768D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C4262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Taxa municipal</w:t>
            </w:r>
          </w:p>
        </w:tc>
        <w:tc>
          <w:tcPr>
            <w:tcW w:w="0" w:type="auto"/>
            <w:vAlign w:val="center"/>
            <w:hideMark/>
          </w:tcPr>
          <w:p w14:paraId="5FDB901B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Município</w:t>
            </w:r>
          </w:p>
        </w:tc>
        <w:tc>
          <w:tcPr>
            <w:tcW w:w="0" w:type="auto"/>
            <w:vAlign w:val="center"/>
            <w:hideMark/>
          </w:tcPr>
          <w:p w14:paraId="053438E0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CF, art. 145, II</w:t>
            </w:r>
          </w:p>
        </w:tc>
      </w:tr>
      <w:tr w:rsidR="00F747FD" w:rsidRPr="00F747FD" w14:paraId="4C18C4A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1C0382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Contribuição de melhoria municipal</w:t>
            </w:r>
          </w:p>
        </w:tc>
        <w:tc>
          <w:tcPr>
            <w:tcW w:w="0" w:type="auto"/>
            <w:vAlign w:val="center"/>
            <w:hideMark/>
          </w:tcPr>
          <w:p w14:paraId="47BF7090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Município</w:t>
            </w:r>
          </w:p>
        </w:tc>
        <w:tc>
          <w:tcPr>
            <w:tcW w:w="0" w:type="auto"/>
            <w:vAlign w:val="center"/>
            <w:hideMark/>
          </w:tcPr>
          <w:p w14:paraId="164E1217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CF, art. 145, III</w:t>
            </w:r>
          </w:p>
        </w:tc>
      </w:tr>
    </w:tbl>
    <w:p w14:paraId="6D3D6C19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O </w:t>
      </w:r>
      <w:r w:rsidRPr="00F747FD">
        <w:rPr>
          <w:rFonts w:ascii="Arial" w:hAnsi="Arial" w:cs="Arial"/>
          <w:b/>
          <w:bCs/>
          <w:sz w:val="24"/>
          <w:szCs w:val="24"/>
        </w:rPr>
        <w:t>IBS</w:t>
      </w:r>
      <w:r w:rsidRPr="00F747FD">
        <w:rPr>
          <w:rFonts w:ascii="Arial" w:hAnsi="Arial" w:cs="Arial"/>
          <w:sz w:val="24"/>
          <w:szCs w:val="24"/>
        </w:rPr>
        <w:t xml:space="preserve"> é de competência compartilhada entre Estados, Distrito Federal e Municípios. A própria Constituição, após a EC nº 132/2023, determina essa competência compartilhada no art. 156-A. </w:t>
      </w:r>
    </w:p>
    <w:p w14:paraId="6868D9B7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</w:t>
      </w:r>
      <w:r w:rsidRPr="00F747FD">
        <w:rPr>
          <w:rFonts w:ascii="Arial" w:hAnsi="Arial" w:cs="Arial"/>
          <w:b/>
          <w:bCs/>
          <w:sz w:val="24"/>
          <w:szCs w:val="24"/>
        </w:rPr>
        <w:t>CBS</w:t>
      </w:r>
      <w:r w:rsidRPr="00F747FD">
        <w:rPr>
          <w:rFonts w:ascii="Arial" w:hAnsi="Arial" w:cs="Arial"/>
          <w:sz w:val="24"/>
          <w:szCs w:val="24"/>
        </w:rPr>
        <w:t xml:space="preserve">, diferentemente, é tributo federal. Já o </w:t>
      </w:r>
      <w:r w:rsidRPr="00F747FD">
        <w:rPr>
          <w:rFonts w:ascii="Arial" w:hAnsi="Arial" w:cs="Arial"/>
          <w:b/>
          <w:bCs/>
          <w:sz w:val="24"/>
          <w:szCs w:val="24"/>
        </w:rPr>
        <w:t>Imposto Seletivo</w:t>
      </w:r>
      <w:r w:rsidRPr="00F747FD">
        <w:rPr>
          <w:rFonts w:ascii="Arial" w:hAnsi="Arial" w:cs="Arial"/>
          <w:sz w:val="24"/>
          <w:szCs w:val="24"/>
        </w:rPr>
        <w:t xml:space="preserve"> é igualmente federal. A LC nº 214/2025 instituiu o IBS, a CBS e o IS como parte da regulamentação da Reforma. </w:t>
      </w:r>
    </w:p>
    <w:p w14:paraId="19752B35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A taxa e a contribuição de melhoria são de competência do ente que possui competência administrativa para a atuação estatal ou para a realização da obra pública que fundamenta a cobrança.</w:t>
      </w:r>
    </w:p>
    <w:p w14:paraId="3F074F0B" w14:textId="299F0906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</w:p>
    <w:p w14:paraId="16703B15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6. Impacto da não cumulatividade no planejamento tributário</w:t>
      </w:r>
    </w:p>
    <w:p w14:paraId="6A973F30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A não cumulatividade modifica significativamente o planejamento tributário da Alpha.</w:t>
      </w:r>
    </w:p>
    <w:p w14:paraId="475FF4DF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No modelo hipotético do exercício, a empresa teria:</w:t>
      </w:r>
    </w:p>
    <w:p w14:paraId="4741E016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IBS:</w:t>
      </w:r>
    </w:p>
    <w:p w14:paraId="453E7400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lastRenderedPageBreak/>
        <w:t xml:space="preserve">R$ 250.000 de débitos − R$ 100.000 de créditos = </w:t>
      </w:r>
      <w:r w:rsidRPr="00F747FD">
        <w:rPr>
          <w:rFonts w:ascii="Arial" w:hAnsi="Arial" w:cs="Arial"/>
          <w:b/>
          <w:bCs/>
          <w:sz w:val="24"/>
          <w:szCs w:val="24"/>
        </w:rPr>
        <w:t>R$ 150.000</w:t>
      </w:r>
    </w:p>
    <w:p w14:paraId="07F4ECD6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CBS:</w:t>
      </w:r>
    </w:p>
    <w:p w14:paraId="5A2E7022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R$ 100.000 de débitos − R$ 40.000 de créditos = </w:t>
      </w:r>
      <w:r w:rsidRPr="00F747FD">
        <w:rPr>
          <w:rFonts w:ascii="Arial" w:hAnsi="Arial" w:cs="Arial"/>
          <w:b/>
          <w:bCs/>
          <w:sz w:val="24"/>
          <w:szCs w:val="24"/>
        </w:rPr>
        <w:t>R$ 60.000</w:t>
      </w:r>
    </w:p>
    <w:p w14:paraId="4290B081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Assim, os créditos dos insumos reduzem a tributação efetivamente suportada pela empresa.</w:t>
      </w:r>
    </w:p>
    <w:p w14:paraId="43D00AC5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O planejamento tributário deverá, portanto, concentrar-se em:</w:t>
      </w:r>
    </w:p>
    <w:p w14:paraId="1F3A1377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correta identificação dos créditos; </w:t>
      </w:r>
    </w:p>
    <w:p w14:paraId="1209854A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conferência dos documentos fiscais; </w:t>
      </w:r>
    </w:p>
    <w:p w14:paraId="124B1F2F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qualificação dos fornecedores; </w:t>
      </w:r>
    </w:p>
    <w:p w14:paraId="66F8037F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segregação de operações; </w:t>
      </w:r>
    </w:p>
    <w:p w14:paraId="53AB0C88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controle da cadeia de aquisição; </w:t>
      </w:r>
    </w:p>
    <w:p w14:paraId="640C9EBC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parametrização do ERP; </w:t>
      </w:r>
    </w:p>
    <w:p w14:paraId="533290A0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correta classificação fiscal dos produtos; </w:t>
      </w:r>
    </w:p>
    <w:p w14:paraId="55E32D67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análise de contratos; </w:t>
      </w:r>
    </w:p>
    <w:p w14:paraId="0751BC1C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formação de preços considerando os créditos; </w:t>
      </w:r>
    </w:p>
    <w:p w14:paraId="65AA4307" w14:textId="77777777" w:rsidR="00F747FD" w:rsidRPr="00F747FD" w:rsidRDefault="00F747FD" w:rsidP="00F747FD">
      <w:pPr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prevenção de créditos indevidos. </w:t>
      </w:r>
    </w:p>
    <w:p w14:paraId="4FDA60F9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 LC nº 214/2025 estabelece regras específicas para a apropriação de créditos e para situações em que não é permitida sua utilização. </w:t>
      </w:r>
    </w:p>
    <w:p w14:paraId="07C70CD9" w14:textId="77777777" w:rsidR="00F747FD" w:rsidRPr="00F747FD" w:rsidRDefault="00F747FD" w:rsidP="003E1B1D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Há ainda uma diferença fundamental em relação ao IS: </w:t>
      </w:r>
      <w:r w:rsidRPr="00F747FD">
        <w:rPr>
          <w:rFonts w:ascii="Arial" w:hAnsi="Arial" w:cs="Arial"/>
          <w:b/>
          <w:bCs/>
          <w:sz w:val="24"/>
          <w:szCs w:val="24"/>
        </w:rPr>
        <w:t>o Imposto Seletivo não gera créditos para operações anteriores nem créditos para operações posteriores</w:t>
      </w:r>
      <w:r w:rsidRPr="00F747FD">
        <w:rPr>
          <w:rFonts w:ascii="Arial" w:hAnsi="Arial" w:cs="Arial"/>
          <w:sz w:val="24"/>
          <w:szCs w:val="24"/>
        </w:rPr>
        <w:t xml:space="preserve">, conforme a legislação regulamentadora. </w:t>
      </w:r>
    </w:p>
    <w:p w14:paraId="7A4492E2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Portanto, para a Alpha, o planejamento deverá separar claramente:</w:t>
      </w:r>
    </w:p>
    <w:p w14:paraId="33C3CED4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IBS/CBS → lógica de crédito e débito</w:t>
      </w:r>
    </w:p>
    <w:p w14:paraId="79E2760D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versus</w:t>
      </w:r>
    </w:p>
    <w:p w14:paraId="7FD7C528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IS → incidência seletiva sem geração de créditos.</w:t>
      </w:r>
    </w:p>
    <w:p w14:paraId="13B39A3A" w14:textId="7EBCBCAC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</w:p>
    <w:p w14:paraId="6C305EF0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7. Cálculo integrado</w:t>
      </w:r>
    </w:p>
    <w:p w14:paraId="16B6FC0D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Utilizando </w:t>
      </w:r>
      <w:r w:rsidRPr="00F747FD">
        <w:rPr>
          <w:rFonts w:ascii="Arial" w:hAnsi="Arial" w:cs="Arial"/>
          <w:b/>
          <w:bCs/>
          <w:sz w:val="24"/>
          <w:szCs w:val="24"/>
        </w:rPr>
        <w:t>exclusivamente as alíquotas hipotéticas fornecidas pelo enunciado</w:t>
      </w:r>
      <w:r w:rsidRPr="00F747FD">
        <w:rPr>
          <w:rFonts w:ascii="Arial" w:hAnsi="Arial" w:cs="Arial"/>
          <w:sz w:val="24"/>
          <w:szCs w:val="24"/>
        </w:rPr>
        <w:t>:</w:t>
      </w:r>
    </w:p>
    <w:p w14:paraId="04F030B4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IBS</w:t>
      </w:r>
    </w:p>
    <w:p w14:paraId="0D8922CA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R$ 150.000,00</w:t>
      </w:r>
    </w:p>
    <w:p w14:paraId="6108581A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CBS</w:t>
      </w:r>
    </w:p>
    <w:p w14:paraId="1828CA8B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R$ 60.000,00</w:t>
      </w:r>
    </w:p>
    <w:p w14:paraId="6FEEFBF4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Imposto Seletivo</w:t>
      </w:r>
    </w:p>
    <w:p w14:paraId="3E44A817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lastRenderedPageBreak/>
        <w:t>R$ 60.000,00</w:t>
      </w:r>
    </w:p>
    <w:p w14:paraId="6AF15C49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Carga tributária total</w:t>
      </w:r>
    </w:p>
    <w:p w14:paraId="486E45DE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R$ 150.000 + R$ 60.000 + R$ 60.000 = R$ 270.000,00</w:t>
      </w:r>
    </w:p>
    <w:p w14:paraId="497B3E79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Portanto:</w:t>
      </w:r>
    </w:p>
    <w:p w14:paraId="18188638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Carga tributária total hipotética = R$ 270.000,00</w:t>
      </w:r>
    </w:p>
    <w:p w14:paraId="7FE1D926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>Considerando a receita de R$ 1.000.000,00:</w:t>
      </w:r>
    </w:p>
    <w:p w14:paraId="16547999" w14:textId="77777777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R$ 270.000 ÷ R$ 1.000.000 = 27%</w:t>
      </w:r>
    </w:p>
    <w:p w14:paraId="41C9A08C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proofErr w:type="gramStart"/>
      <w:r w:rsidRPr="00F747FD">
        <w:rPr>
          <w:rFonts w:ascii="Arial" w:hAnsi="Arial" w:cs="Arial"/>
          <w:b/>
          <w:bCs/>
          <w:sz w:val="24"/>
          <w:szCs w:val="24"/>
        </w:rPr>
        <w:t>Resultado final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4"/>
        <w:gridCol w:w="1650"/>
      </w:tblGrid>
      <w:tr w:rsidR="00F747FD" w:rsidRPr="00F747FD" w14:paraId="4C71BE5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20FD03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Tributo</w:t>
            </w:r>
          </w:p>
        </w:tc>
        <w:tc>
          <w:tcPr>
            <w:tcW w:w="0" w:type="auto"/>
            <w:vAlign w:val="center"/>
            <w:hideMark/>
          </w:tcPr>
          <w:p w14:paraId="5F975A58" w14:textId="77777777" w:rsidR="00F747FD" w:rsidRPr="00F747FD" w:rsidRDefault="00F747FD" w:rsidP="00F747F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Valor</w:t>
            </w:r>
          </w:p>
        </w:tc>
      </w:tr>
      <w:tr w:rsidR="00F747FD" w:rsidRPr="00F747FD" w14:paraId="1EDF45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A08179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IBS</w:t>
            </w:r>
          </w:p>
        </w:tc>
        <w:tc>
          <w:tcPr>
            <w:tcW w:w="0" w:type="auto"/>
            <w:vAlign w:val="center"/>
            <w:hideMark/>
          </w:tcPr>
          <w:p w14:paraId="2293E5B0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R$ 150.000,00</w:t>
            </w:r>
          </w:p>
        </w:tc>
      </w:tr>
      <w:tr w:rsidR="00F747FD" w:rsidRPr="00F747FD" w14:paraId="6AD314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B863D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CBS</w:t>
            </w:r>
          </w:p>
        </w:tc>
        <w:tc>
          <w:tcPr>
            <w:tcW w:w="0" w:type="auto"/>
            <w:vAlign w:val="center"/>
            <w:hideMark/>
          </w:tcPr>
          <w:p w14:paraId="7BD9BA75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R$ 60.000,00</w:t>
            </w:r>
          </w:p>
        </w:tc>
      </w:tr>
      <w:tr w:rsidR="00F747FD" w:rsidRPr="00F747FD" w14:paraId="3EC962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E6DD9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sz w:val="24"/>
                <w:szCs w:val="24"/>
              </w:rPr>
              <w:t>Imposto Seletivo</w:t>
            </w:r>
          </w:p>
        </w:tc>
        <w:tc>
          <w:tcPr>
            <w:tcW w:w="0" w:type="auto"/>
            <w:vAlign w:val="center"/>
            <w:hideMark/>
          </w:tcPr>
          <w:p w14:paraId="1058EEAF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R$ 60.000,00</w:t>
            </w:r>
          </w:p>
        </w:tc>
      </w:tr>
      <w:tr w:rsidR="00F747FD" w:rsidRPr="00F747FD" w14:paraId="14B7C1D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DB5C0A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Carga total</w:t>
            </w:r>
          </w:p>
        </w:tc>
        <w:tc>
          <w:tcPr>
            <w:tcW w:w="0" w:type="auto"/>
            <w:vAlign w:val="center"/>
            <w:hideMark/>
          </w:tcPr>
          <w:p w14:paraId="5066D9A0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R$ 270.000,00</w:t>
            </w:r>
          </w:p>
        </w:tc>
      </w:tr>
      <w:tr w:rsidR="00F747FD" w:rsidRPr="00F747FD" w14:paraId="585183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43277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Percentual sobre a receita</w:t>
            </w:r>
          </w:p>
        </w:tc>
        <w:tc>
          <w:tcPr>
            <w:tcW w:w="0" w:type="auto"/>
            <w:vAlign w:val="center"/>
            <w:hideMark/>
          </w:tcPr>
          <w:p w14:paraId="1860E583" w14:textId="77777777" w:rsidR="00F747FD" w:rsidRPr="00F747FD" w:rsidRDefault="00F747FD" w:rsidP="00F747FD">
            <w:pPr>
              <w:rPr>
                <w:rFonts w:ascii="Arial" w:hAnsi="Arial" w:cs="Arial"/>
                <w:sz w:val="24"/>
                <w:szCs w:val="24"/>
              </w:rPr>
            </w:pPr>
            <w:r w:rsidRPr="00F747FD">
              <w:rPr>
                <w:rFonts w:ascii="Arial" w:hAnsi="Arial" w:cs="Arial"/>
                <w:b/>
                <w:bCs/>
                <w:sz w:val="24"/>
                <w:szCs w:val="24"/>
              </w:rPr>
              <w:t>27%</w:t>
            </w:r>
          </w:p>
        </w:tc>
      </w:tr>
    </w:tbl>
    <w:p w14:paraId="4A37EFDB" w14:textId="77777777" w:rsidR="00F747FD" w:rsidRPr="00F747FD" w:rsidRDefault="00F747FD" w:rsidP="000C36F4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b/>
          <w:bCs/>
          <w:sz w:val="24"/>
          <w:szCs w:val="24"/>
        </w:rPr>
        <w:t>Não entram nesse total</w:t>
      </w:r>
      <w:r w:rsidRPr="00F747FD">
        <w:rPr>
          <w:rFonts w:ascii="Arial" w:hAnsi="Arial" w:cs="Arial"/>
          <w:sz w:val="24"/>
          <w:szCs w:val="24"/>
        </w:rPr>
        <w:t xml:space="preserve"> a taxa sanitária de R$ 15.000,00 e a contribuição de melhoria de R$ 80.000,00, porque a questão 7 determinou expressamente a soma de </w:t>
      </w:r>
      <w:r w:rsidRPr="00F747FD">
        <w:rPr>
          <w:rFonts w:ascii="Arial" w:hAnsi="Arial" w:cs="Arial"/>
          <w:b/>
          <w:bCs/>
          <w:sz w:val="24"/>
          <w:szCs w:val="24"/>
        </w:rPr>
        <w:t>IBS + CBS + IS</w:t>
      </w:r>
      <w:r w:rsidRPr="00F747FD">
        <w:rPr>
          <w:rFonts w:ascii="Arial" w:hAnsi="Arial" w:cs="Arial"/>
          <w:sz w:val="24"/>
          <w:szCs w:val="24"/>
        </w:rPr>
        <w:t>.</w:t>
      </w:r>
    </w:p>
    <w:p w14:paraId="5EF98A9C" w14:textId="3EF60223" w:rsidR="00F747FD" w:rsidRPr="00F747FD" w:rsidRDefault="00F747FD" w:rsidP="00F747FD">
      <w:pPr>
        <w:rPr>
          <w:rFonts w:ascii="Arial" w:hAnsi="Arial" w:cs="Arial"/>
          <w:sz w:val="24"/>
          <w:szCs w:val="24"/>
        </w:rPr>
      </w:pPr>
    </w:p>
    <w:p w14:paraId="26476BA6" w14:textId="77777777" w:rsidR="00F747FD" w:rsidRPr="00F747FD" w:rsidRDefault="00F747FD" w:rsidP="00F747FD">
      <w:pPr>
        <w:rPr>
          <w:rFonts w:ascii="Arial" w:hAnsi="Arial" w:cs="Arial"/>
          <w:b/>
          <w:bCs/>
          <w:sz w:val="24"/>
          <w:szCs w:val="24"/>
        </w:rPr>
      </w:pPr>
      <w:r w:rsidRPr="00F747FD">
        <w:rPr>
          <w:rFonts w:ascii="Segoe UI Emoji" w:hAnsi="Segoe UI Emoji" w:cs="Segoe UI Emoji"/>
          <w:b/>
          <w:bCs/>
          <w:sz w:val="24"/>
          <w:szCs w:val="24"/>
        </w:rPr>
        <w:t>⚠️</w:t>
      </w:r>
      <w:r w:rsidRPr="00F747FD">
        <w:rPr>
          <w:rFonts w:ascii="Arial" w:hAnsi="Arial" w:cs="Arial"/>
          <w:b/>
          <w:bCs/>
          <w:sz w:val="24"/>
          <w:szCs w:val="24"/>
        </w:rPr>
        <w:t xml:space="preserve"> Observação essencial para atualização do estudo de caso</w:t>
      </w:r>
    </w:p>
    <w:p w14:paraId="1CF98524" w14:textId="77777777" w:rsidR="00F747FD" w:rsidRPr="00F747FD" w:rsidRDefault="00F747FD" w:rsidP="000C36F4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Se o objetivo for utilizar este material em </w:t>
      </w:r>
      <w:r w:rsidRPr="00F747FD">
        <w:rPr>
          <w:rFonts w:ascii="Arial" w:hAnsi="Arial" w:cs="Arial"/>
          <w:b/>
          <w:bCs/>
          <w:sz w:val="24"/>
          <w:szCs w:val="24"/>
        </w:rPr>
        <w:t>livro, curso de graduação, pós-graduação ou concurso em 2026/2027</w:t>
      </w:r>
      <w:r w:rsidRPr="00F747FD">
        <w:rPr>
          <w:rFonts w:ascii="Arial" w:hAnsi="Arial" w:cs="Arial"/>
          <w:sz w:val="24"/>
          <w:szCs w:val="24"/>
        </w:rPr>
        <w:t xml:space="preserve">, eu recomendo fazer uma distinção expressa entre </w:t>
      </w:r>
      <w:r w:rsidRPr="00F747FD">
        <w:rPr>
          <w:rFonts w:ascii="Arial" w:hAnsi="Arial" w:cs="Arial"/>
          <w:b/>
          <w:bCs/>
          <w:sz w:val="24"/>
          <w:szCs w:val="24"/>
        </w:rPr>
        <w:t>“cálculo didático” e “cálculo segundo a legislação vigente”</w:t>
      </w:r>
      <w:r w:rsidRPr="00F747FD">
        <w:rPr>
          <w:rFonts w:ascii="Arial" w:hAnsi="Arial" w:cs="Arial"/>
          <w:sz w:val="24"/>
          <w:szCs w:val="24"/>
        </w:rPr>
        <w:t>.</w:t>
      </w:r>
    </w:p>
    <w:p w14:paraId="2B7574A5" w14:textId="77777777" w:rsidR="00F747FD" w:rsidRPr="00F747FD" w:rsidRDefault="00F747FD" w:rsidP="000C36F4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Isso porque a legislação atualmente vigente não permite simplesmente aplicar </w:t>
      </w:r>
      <w:r w:rsidRPr="00F747FD">
        <w:rPr>
          <w:rFonts w:ascii="Arial" w:hAnsi="Arial" w:cs="Arial"/>
          <w:b/>
          <w:bCs/>
          <w:sz w:val="24"/>
          <w:szCs w:val="24"/>
        </w:rPr>
        <w:t>IBS de 25% em 2027</w:t>
      </w:r>
      <w:r w:rsidRPr="00F747FD">
        <w:rPr>
          <w:rFonts w:ascii="Arial" w:hAnsi="Arial" w:cs="Arial"/>
          <w:sz w:val="24"/>
          <w:szCs w:val="24"/>
        </w:rPr>
        <w:t xml:space="preserve">. A LC nº 214/2025 determina que, em </w:t>
      </w:r>
      <w:r w:rsidRPr="00F747FD">
        <w:rPr>
          <w:rFonts w:ascii="Arial" w:hAnsi="Arial" w:cs="Arial"/>
          <w:b/>
          <w:bCs/>
          <w:sz w:val="24"/>
          <w:szCs w:val="24"/>
        </w:rPr>
        <w:t>2027 e 2028</w:t>
      </w:r>
      <w:r w:rsidRPr="00F747FD">
        <w:rPr>
          <w:rFonts w:ascii="Arial" w:hAnsi="Arial" w:cs="Arial"/>
          <w:sz w:val="24"/>
          <w:szCs w:val="24"/>
        </w:rPr>
        <w:t xml:space="preserve">, o IBS será cobrado à alíquota de </w:t>
      </w:r>
      <w:r w:rsidRPr="00F747FD">
        <w:rPr>
          <w:rFonts w:ascii="Arial" w:hAnsi="Arial" w:cs="Arial"/>
          <w:b/>
          <w:bCs/>
          <w:sz w:val="24"/>
          <w:szCs w:val="24"/>
        </w:rPr>
        <w:t>0,05% estadual + 0,05% municipal</w:t>
      </w:r>
      <w:r w:rsidRPr="00F747FD">
        <w:rPr>
          <w:rFonts w:ascii="Arial" w:hAnsi="Arial" w:cs="Arial"/>
          <w:sz w:val="24"/>
          <w:szCs w:val="24"/>
        </w:rPr>
        <w:t xml:space="preserve">, enquanto a CBS seguirá a sistemática própria de fixação de sua alíquota de referência. </w:t>
      </w:r>
    </w:p>
    <w:p w14:paraId="5408AB1E" w14:textId="77777777" w:rsidR="00F747FD" w:rsidRPr="00F747FD" w:rsidRDefault="00F747FD" w:rsidP="000C36F4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Além disso, a transição é escalonada: a CBS começa sua transição em 2027, enquanto a transição do IBS ocorre progressivamente a partir de 2029, com redução gradual do ICMS e do ISS. </w:t>
      </w:r>
    </w:p>
    <w:p w14:paraId="6B997B2F" w14:textId="77777777" w:rsidR="00F747FD" w:rsidRPr="00F747FD" w:rsidRDefault="00F747FD" w:rsidP="000C36F4">
      <w:pPr>
        <w:jc w:val="both"/>
        <w:rPr>
          <w:rFonts w:ascii="Arial" w:hAnsi="Arial" w:cs="Arial"/>
          <w:sz w:val="24"/>
          <w:szCs w:val="24"/>
        </w:rPr>
      </w:pPr>
      <w:r w:rsidRPr="00F747FD">
        <w:rPr>
          <w:rFonts w:ascii="Arial" w:hAnsi="Arial" w:cs="Arial"/>
          <w:sz w:val="24"/>
          <w:szCs w:val="24"/>
        </w:rPr>
        <w:t xml:space="preserve">Assim, </w:t>
      </w:r>
      <w:r w:rsidRPr="00F747FD">
        <w:rPr>
          <w:rFonts w:ascii="Arial" w:hAnsi="Arial" w:cs="Arial"/>
          <w:b/>
          <w:bCs/>
          <w:sz w:val="24"/>
          <w:szCs w:val="24"/>
        </w:rPr>
        <w:t>para fins de prova didática</w:t>
      </w:r>
      <w:r w:rsidRPr="00F747FD">
        <w:rPr>
          <w:rFonts w:ascii="Arial" w:hAnsi="Arial" w:cs="Arial"/>
          <w:sz w:val="24"/>
          <w:szCs w:val="24"/>
        </w:rPr>
        <w:t xml:space="preserve">, o gabarito numérico é </w:t>
      </w:r>
      <w:r w:rsidRPr="00F747FD">
        <w:rPr>
          <w:rFonts w:ascii="Arial" w:hAnsi="Arial" w:cs="Arial"/>
          <w:b/>
          <w:bCs/>
          <w:sz w:val="24"/>
          <w:szCs w:val="24"/>
        </w:rPr>
        <w:t>R$ 270.000,00</w:t>
      </w:r>
      <w:r w:rsidRPr="00F747FD">
        <w:rPr>
          <w:rFonts w:ascii="Arial" w:hAnsi="Arial" w:cs="Arial"/>
          <w:sz w:val="24"/>
          <w:szCs w:val="24"/>
        </w:rPr>
        <w:t xml:space="preserve">. Para uma questão que pretenda cobrar a </w:t>
      </w:r>
      <w:r w:rsidRPr="00F747FD">
        <w:rPr>
          <w:rFonts w:ascii="Arial" w:hAnsi="Arial" w:cs="Arial"/>
          <w:b/>
          <w:bCs/>
          <w:sz w:val="24"/>
          <w:szCs w:val="24"/>
        </w:rPr>
        <w:t>legislação efetivamente vigente em 2027</w:t>
      </w:r>
      <w:r w:rsidRPr="00F747FD">
        <w:rPr>
          <w:rFonts w:ascii="Arial" w:hAnsi="Arial" w:cs="Arial"/>
          <w:sz w:val="24"/>
          <w:szCs w:val="24"/>
        </w:rPr>
        <w:t>, as alíquotas do enunciado deveriam ser substituídas pelas alíquotas legais aplicáveis ao período.</w:t>
      </w:r>
    </w:p>
    <w:p w14:paraId="60E2F5F8" w14:textId="77777777" w:rsidR="00E31AA5" w:rsidRPr="00BF3F62" w:rsidRDefault="00E31AA5">
      <w:pPr>
        <w:rPr>
          <w:rFonts w:ascii="Arial" w:hAnsi="Arial" w:cs="Arial"/>
          <w:sz w:val="24"/>
          <w:szCs w:val="24"/>
        </w:rPr>
      </w:pPr>
    </w:p>
    <w:sectPr w:rsidR="00E31AA5" w:rsidRPr="00BF3F62" w:rsidSect="000D483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84AB" w14:textId="77777777" w:rsidR="001819F4" w:rsidRDefault="001819F4" w:rsidP="000D4833">
      <w:pPr>
        <w:spacing w:after="0" w:line="240" w:lineRule="auto"/>
      </w:pPr>
      <w:r>
        <w:separator/>
      </w:r>
    </w:p>
  </w:endnote>
  <w:endnote w:type="continuationSeparator" w:id="0">
    <w:p w14:paraId="29D863FA" w14:textId="77777777" w:rsidR="001819F4" w:rsidRDefault="001819F4" w:rsidP="000D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B9B4" w14:textId="48577C1E" w:rsidR="000D4833" w:rsidRPr="000D4833" w:rsidRDefault="0020554C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Obrigação Tributária</w:t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="000D4833" w:rsidRPr="000D4833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9764" w14:textId="77777777" w:rsidR="001819F4" w:rsidRDefault="001819F4" w:rsidP="000D4833">
      <w:pPr>
        <w:spacing w:after="0" w:line="240" w:lineRule="auto"/>
      </w:pPr>
      <w:r>
        <w:separator/>
      </w:r>
    </w:p>
  </w:footnote>
  <w:footnote w:type="continuationSeparator" w:id="0">
    <w:p w14:paraId="7C81004F" w14:textId="77777777" w:rsidR="001819F4" w:rsidRDefault="001819F4" w:rsidP="000D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035A"/>
    <w:multiLevelType w:val="multilevel"/>
    <w:tmpl w:val="727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75184"/>
    <w:multiLevelType w:val="multilevel"/>
    <w:tmpl w:val="0F302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46230"/>
    <w:multiLevelType w:val="multilevel"/>
    <w:tmpl w:val="3DFC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33A02"/>
    <w:multiLevelType w:val="multilevel"/>
    <w:tmpl w:val="35D47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847D9"/>
    <w:multiLevelType w:val="multilevel"/>
    <w:tmpl w:val="39E67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F64B4"/>
    <w:multiLevelType w:val="multilevel"/>
    <w:tmpl w:val="49E40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12BA9"/>
    <w:multiLevelType w:val="multilevel"/>
    <w:tmpl w:val="43B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10BDC"/>
    <w:multiLevelType w:val="multilevel"/>
    <w:tmpl w:val="4222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270FE9"/>
    <w:multiLevelType w:val="multilevel"/>
    <w:tmpl w:val="0354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EE3322"/>
    <w:multiLevelType w:val="multilevel"/>
    <w:tmpl w:val="C606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26CA5"/>
    <w:multiLevelType w:val="multilevel"/>
    <w:tmpl w:val="857A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1B4C83"/>
    <w:multiLevelType w:val="multilevel"/>
    <w:tmpl w:val="071E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263AE7"/>
    <w:multiLevelType w:val="multilevel"/>
    <w:tmpl w:val="026E7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9E20E9"/>
    <w:multiLevelType w:val="multilevel"/>
    <w:tmpl w:val="95CC3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D36F2E"/>
    <w:multiLevelType w:val="multilevel"/>
    <w:tmpl w:val="EDA6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ED9"/>
    <w:multiLevelType w:val="multilevel"/>
    <w:tmpl w:val="DA50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BE371B"/>
    <w:multiLevelType w:val="multilevel"/>
    <w:tmpl w:val="7072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5448AB"/>
    <w:multiLevelType w:val="multilevel"/>
    <w:tmpl w:val="2FA4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5F5EFA"/>
    <w:multiLevelType w:val="multilevel"/>
    <w:tmpl w:val="CC0C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C45"/>
    <w:multiLevelType w:val="multilevel"/>
    <w:tmpl w:val="86AC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6A517A"/>
    <w:multiLevelType w:val="multilevel"/>
    <w:tmpl w:val="F342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871D68"/>
    <w:multiLevelType w:val="multilevel"/>
    <w:tmpl w:val="93A4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8676B0"/>
    <w:multiLevelType w:val="multilevel"/>
    <w:tmpl w:val="3704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C43E3D"/>
    <w:multiLevelType w:val="multilevel"/>
    <w:tmpl w:val="D3B2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D240A5"/>
    <w:multiLevelType w:val="multilevel"/>
    <w:tmpl w:val="7D2E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9E6527"/>
    <w:multiLevelType w:val="multilevel"/>
    <w:tmpl w:val="9F529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1D61A5"/>
    <w:multiLevelType w:val="multilevel"/>
    <w:tmpl w:val="6D6C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3B6422"/>
    <w:multiLevelType w:val="multilevel"/>
    <w:tmpl w:val="56EC2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424D8E"/>
    <w:multiLevelType w:val="multilevel"/>
    <w:tmpl w:val="2B94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493D84"/>
    <w:multiLevelType w:val="multilevel"/>
    <w:tmpl w:val="7B8E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04512A"/>
    <w:multiLevelType w:val="multilevel"/>
    <w:tmpl w:val="0B54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E517AC"/>
    <w:multiLevelType w:val="multilevel"/>
    <w:tmpl w:val="90AE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B87AC9"/>
    <w:multiLevelType w:val="multilevel"/>
    <w:tmpl w:val="9806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B668A5"/>
    <w:multiLevelType w:val="multilevel"/>
    <w:tmpl w:val="B2A2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885CB5"/>
    <w:multiLevelType w:val="multilevel"/>
    <w:tmpl w:val="C3AA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5E6C86"/>
    <w:multiLevelType w:val="multilevel"/>
    <w:tmpl w:val="30EE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230736"/>
    <w:multiLevelType w:val="multilevel"/>
    <w:tmpl w:val="963CF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976D2A"/>
    <w:multiLevelType w:val="multilevel"/>
    <w:tmpl w:val="6292E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841CB7"/>
    <w:multiLevelType w:val="multilevel"/>
    <w:tmpl w:val="BEB2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CE365D"/>
    <w:multiLevelType w:val="multilevel"/>
    <w:tmpl w:val="9E7A5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A86759"/>
    <w:multiLevelType w:val="multilevel"/>
    <w:tmpl w:val="297E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4635F2"/>
    <w:multiLevelType w:val="multilevel"/>
    <w:tmpl w:val="A68A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586036"/>
    <w:multiLevelType w:val="multilevel"/>
    <w:tmpl w:val="96664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E9227A"/>
    <w:multiLevelType w:val="multilevel"/>
    <w:tmpl w:val="9014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719400">
    <w:abstractNumId w:val="28"/>
  </w:num>
  <w:num w:numId="2" w16cid:durableId="1280797910">
    <w:abstractNumId w:val="33"/>
  </w:num>
  <w:num w:numId="3" w16cid:durableId="784230505">
    <w:abstractNumId w:val="6"/>
  </w:num>
  <w:num w:numId="4" w16cid:durableId="896284829">
    <w:abstractNumId w:val="30"/>
  </w:num>
  <w:num w:numId="5" w16cid:durableId="2030913316">
    <w:abstractNumId w:val="14"/>
  </w:num>
  <w:num w:numId="6" w16cid:durableId="1674603287">
    <w:abstractNumId w:val="0"/>
  </w:num>
  <w:num w:numId="7" w16cid:durableId="1400060078">
    <w:abstractNumId w:val="17"/>
  </w:num>
  <w:num w:numId="8" w16cid:durableId="1903179349">
    <w:abstractNumId w:val="22"/>
  </w:num>
  <w:num w:numId="9" w16cid:durableId="77945975">
    <w:abstractNumId w:val="11"/>
  </w:num>
  <w:num w:numId="10" w16cid:durableId="1598295054">
    <w:abstractNumId w:val="32"/>
  </w:num>
  <w:num w:numId="11" w16cid:durableId="1965043542">
    <w:abstractNumId w:val="20"/>
  </w:num>
  <w:num w:numId="12" w16cid:durableId="1441880503">
    <w:abstractNumId w:val="19"/>
  </w:num>
  <w:num w:numId="13" w16cid:durableId="929463182">
    <w:abstractNumId w:val="43"/>
  </w:num>
  <w:num w:numId="14" w16cid:durableId="270282452">
    <w:abstractNumId w:val="23"/>
  </w:num>
  <w:num w:numId="15" w16cid:durableId="1267233996">
    <w:abstractNumId w:val="12"/>
  </w:num>
  <w:num w:numId="16" w16cid:durableId="719860204">
    <w:abstractNumId w:val="41"/>
  </w:num>
  <w:num w:numId="17" w16cid:durableId="1325817276">
    <w:abstractNumId w:val="40"/>
  </w:num>
  <w:num w:numId="18" w16cid:durableId="37315209">
    <w:abstractNumId w:val="21"/>
  </w:num>
  <w:num w:numId="19" w16cid:durableId="38670781">
    <w:abstractNumId w:val="42"/>
  </w:num>
  <w:num w:numId="20" w16cid:durableId="1298560565">
    <w:abstractNumId w:val="10"/>
  </w:num>
  <w:num w:numId="21" w16cid:durableId="1086611515">
    <w:abstractNumId w:val="5"/>
  </w:num>
  <w:num w:numId="22" w16cid:durableId="808789101">
    <w:abstractNumId w:val="2"/>
  </w:num>
  <w:num w:numId="23" w16cid:durableId="1667904020">
    <w:abstractNumId w:val="38"/>
  </w:num>
  <w:num w:numId="24" w16cid:durableId="92092503">
    <w:abstractNumId w:val="31"/>
  </w:num>
  <w:num w:numId="25" w16cid:durableId="2104376522">
    <w:abstractNumId w:val="7"/>
  </w:num>
  <w:num w:numId="26" w16cid:durableId="186528338">
    <w:abstractNumId w:val="24"/>
  </w:num>
  <w:num w:numId="27" w16cid:durableId="1622878020">
    <w:abstractNumId w:val="16"/>
  </w:num>
  <w:num w:numId="28" w16cid:durableId="1963883479">
    <w:abstractNumId w:val="8"/>
  </w:num>
  <w:num w:numId="29" w16cid:durableId="516584040">
    <w:abstractNumId w:val="15"/>
  </w:num>
  <w:num w:numId="30" w16cid:durableId="322201348">
    <w:abstractNumId w:val="25"/>
  </w:num>
  <w:num w:numId="31" w16cid:durableId="1412848742">
    <w:abstractNumId w:val="27"/>
  </w:num>
  <w:num w:numId="32" w16cid:durableId="1844202724">
    <w:abstractNumId w:val="34"/>
  </w:num>
  <w:num w:numId="33" w16cid:durableId="1443919544">
    <w:abstractNumId w:val="4"/>
  </w:num>
  <w:num w:numId="34" w16cid:durableId="1866097430">
    <w:abstractNumId w:val="3"/>
  </w:num>
  <w:num w:numId="35" w16cid:durableId="1268846938">
    <w:abstractNumId w:val="1"/>
  </w:num>
  <w:num w:numId="36" w16cid:durableId="1537309907">
    <w:abstractNumId w:val="29"/>
  </w:num>
  <w:num w:numId="37" w16cid:durableId="1805535904">
    <w:abstractNumId w:val="39"/>
  </w:num>
  <w:num w:numId="38" w16cid:durableId="1728915408">
    <w:abstractNumId w:val="13"/>
  </w:num>
  <w:num w:numId="39" w16cid:durableId="1287270459">
    <w:abstractNumId w:val="18"/>
  </w:num>
  <w:num w:numId="40" w16cid:durableId="1408378344">
    <w:abstractNumId w:val="36"/>
  </w:num>
  <w:num w:numId="41" w16cid:durableId="209655127">
    <w:abstractNumId w:val="37"/>
  </w:num>
  <w:num w:numId="42" w16cid:durableId="663050588">
    <w:abstractNumId w:val="26"/>
  </w:num>
  <w:num w:numId="43" w16cid:durableId="1576938173">
    <w:abstractNumId w:val="35"/>
  </w:num>
  <w:num w:numId="44" w16cid:durableId="2286197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33"/>
    <w:rsid w:val="000046D3"/>
    <w:rsid w:val="00081A96"/>
    <w:rsid w:val="000C36F4"/>
    <w:rsid w:val="000D4833"/>
    <w:rsid w:val="000D6E93"/>
    <w:rsid w:val="00150C8F"/>
    <w:rsid w:val="001819F4"/>
    <w:rsid w:val="0020554C"/>
    <w:rsid w:val="002412E2"/>
    <w:rsid w:val="002F5280"/>
    <w:rsid w:val="00351BE8"/>
    <w:rsid w:val="00386601"/>
    <w:rsid w:val="003E1B1D"/>
    <w:rsid w:val="004252EF"/>
    <w:rsid w:val="004F59ED"/>
    <w:rsid w:val="00537117"/>
    <w:rsid w:val="00557C2F"/>
    <w:rsid w:val="005C77B9"/>
    <w:rsid w:val="00601EDF"/>
    <w:rsid w:val="00650A83"/>
    <w:rsid w:val="00685029"/>
    <w:rsid w:val="006C108E"/>
    <w:rsid w:val="007306E3"/>
    <w:rsid w:val="007D1992"/>
    <w:rsid w:val="008F2206"/>
    <w:rsid w:val="00A37743"/>
    <w:rsid w:val="00A83617"/>
    <w:rsid w:val="00A95346"/>
    <w:rsid w:val="00AB59C3"/>
    <w:rsid w:val="00BB4368"/>
    <w:rsid w:val="00BF3F62"/>
    <w:rsid w:val="00C0022C"/>
    <w:rsid w:val="00D21100"/>
    <w:rsid w:val="00E12082"/>
    <w:rsid w:val="00E31AA5"/>
    <w:rsid w:val="00E831B0"/>
    <w:rsid w:val="00ED042C"/>
    <w:rsid w:val="00ED099B"/>
    <w:rsid w:val="00F35EB5"/>
    <w:rsid w:val="00F747FD"/>
    <w:rsid w:val="00FB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A8B7"/>
  <w15:chartTrackingRefBased/>
  <w15:docId w15:val="{A7AD053A-9AE2-41BA-8BB2-4857BC51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4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4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4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4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4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4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4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4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4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4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4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4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48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483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48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483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48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48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4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4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4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4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4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48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483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48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4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48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483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4833"/>
  </w:style>
  <w:style w:type="paragraph" w:styleId="Rodap">
    <w:name w:val="footer"/>
    <w:basedOn w:val="Normal"/>
    <w:link w:val="Rodap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4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21</Pages>
  <Words>5145</Words>
  <Characters>29330</Characters>
  <Application>Microsoft Office Word</Application>
  <DocSecurity>0</DocSecurity>
  <Lines>1222</Lines>
  <Paragraphs>530</Paragraphs>
  <ScaleCrop>false</ScaleCrop>
  <Manager>Prof. Dr. Silvio Crepaldi</Manager>
  <Company>Simões Crepaldi Assessoria Ltda.</Company>
  <LinksUpToDate>false</LinksUpToDate>
  <CharactersWithSpaces>33945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Direito Tributário e Malhas Fiscais</dc:title>
  <dc:subject>Questões e Estudo de Caso</dc:subject>
  <dc:creator>Professor Doutor Silvio Aparecido Crepaldi</dc:creator>
  <cp:keywords>Prof. Dr. Crepaldi</cp:keywords>
  <dc:description/>
  <cp:lastModifiedBy>Silvio Crepaldi</cp:lastModifiedBy>
  <cp:revision>2</cp:revision>
  <dcterms:created xsi:type="dcterms:W3CDTF">2026-08-18T18:37:00Z</dcterms:created>
  <dcterms:modified xsi:type="dcterms:W3CDTF">2026-08-18T18:37:00Z</dcterms:modified>
  <cp:category>Tema 1</cp:category>
</cp:coreProperties>
</file>